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0"/>
        </w:rPr>
        <w:t xml:space="preserve">宿豫区</w:t>
      </w:r>
      <w:r>
        <w:rPr>
          <w:rFonts w:ascii="Times New Roman" w:hAnsi="Times New Roman" w:eastAsia="Times New Roman" w:cs="Times New Roman"/>
          <w:b/>
          <w:color w:val="000000"/>
          <w:sz w:val="30"/>
        </w:rPr>
        <w:t xml:space="preserve">2026-2027</w:t>
      </w:r>
      <w:r>
        <w:rPr>
          <w:rFonts w:ascii="SimSun" w:hAnsi="SimSun" w:eastAsia="SimSun" w:cs="SimSun"/>
          <w:b/>
          <w:color w:val="000000"/>
          <w:sz w:val="30"/>
        </w:rPr>
        <w:t xml:space="preserve">年度残疾人意外伤害保险采购项目</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0"/>
        </w:rPr>
        <w:t xml:space="preserve">JSZC-321311-JYGS-G2025-0019</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（服务类项目，</w:t>
      </w:r>
      <w:r>
        <w:rPr>
          <w:rFonts w:ascii="Times New Roman" w:hAnsi="Times New Roman" w:eastAsia="Times New Roman" w:cs="Times New Roman"/>
          <w:b/>
          <w:color w:val="000000"/>
          <w:sz w:val="30"/>
          <w:u w:val="single"/>
        </w:rPr>
        <w:t xml:space="preserve"> </w:t>
      </w:r>
      <w:r>
        <w:rPr>
          <w:rFonts w:ascii="SimSun" w:hAnsi="SimSun" w:eastAsia="SimSun" w:cs="SimSun"/>
          <w:b/>
          <w:color w:val="000000"/>
          <w:sz w:val="30"/>
          <w:u w:val="single"/>
        </w:rPr>
        <w:t xml:space="preserve">非</w:t>
      </w:r>
      <w:r>
        <w:rPr>
          <w:rFonts w:ascii="Times New Roman" w:hAnsi="Times New Roman" w:eastAsia="Times New Roman" w:cs="Times New Roman"/>
          <w:b/>
          <w:color w:val="000000"/>
          <w:sz w:val="30"/>
          <w:u w:val="single"/>
        </w:rPr>
        <w:t xml:space="preserve"> </w:t>
      </w:r>
      <w:r>
        <w:rPr>
          <w:rFonts w:ascii="SimSun" w:hAnsi="SimSun" w:eastAsia="SimSun" w:cs="SimSun"/>
          <w:b/>
          <w:color w:val="000000"/>
          <w:sz w:val="30"/>
        </w:rPr>
        <w:t xml:space="preserve">专门面向中小企业）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69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宿迁市宿豫区残疾人联合会</w:t>
      </w:r>
      <w:r/>
    </w:p>
    <w:p>
      <w:pPr>
        <w:ind w:left="0" w:right="0" w:firstLine="1606"/>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12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2025</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11</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28</w:t>
      </w:r>
      <w:r>
        <w:rPr>
          <w:rFonts w:ascii="SimSun" w:hAnsi="SimSun" w:eastAsia="SimSun" w:cs="SimSun"/>
          <w:b/>
          <w:color w:val="000000"/>
          <w:sz w:val="32"/>
        </w:rPr>
        <w:t xml:space="preserve">日</w:t>
      </w:r>
      <w:r/>
    </w:p>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w:t>
      </w:r>
      <w:r>
        <w:rPr>
          <w:rFonts w:ascii="Times New Roman" w:hAnsi="Times New Roman" w:eastAsia="Times New Roman" w:cs="Times New Roman"/>
          <w:b/>
          <w:color w:val="000000"/>
          <w:sz w:val="44"/>
        </w:rPr>
        <w:t xml:space="preserve">  </w:t>
      </w:r>
      <w:r>
        <w:rPr>
          <w:rFonts w:ascii="SimHei" w:hAnsi="SimHei" w:eastAsia="SimHei" w:cs="SimHei"/>
          <w:b/>
          <w:color w:val="000000"/>
          <w:sz w:val="44"/>
        </w:rPr>
        <w:t xml:space="preserve">目</w:t>
      </w:r>
      <w:r>
        <w:rPr>
          <w:rFonts w:ascii="Times New Roman" w:hAnsi="Times New Roman" w:eastAsia="Times New Roman" w:cs="Times New Roman"/>
          <w:b/>
          <w:color w:val="000000"/>
          <w:sz w:val="44"/>
        </w:rPr>
        <w:t xml:space="preserve">  </w:t>
      </w:r>
      <w:r>
        <w:rPr>
          <w:rFonts w:ascii="SimHei" w:hAnsi="SimHei" w:eastAsia="SimHei" w:cs="SimHei"/>
          <w:b/>
          <w:color w:val="000000"/>
          <w:sz w:val="44"/>
        </w:rPr>
        <w:t xml:space="preserve">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rPr>
          <w:rFonts w:ascii="Times New Roman" w:hAnsi="Times New Roman" w:eastAsia="Times New Roman" w:cs="Times New Roman"/>
          <w:color w:val="000000"/>
          <w:sz w:val="36"/>
        </w:rPr>
        <w:t xml:space="preserve">2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6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22</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33</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41</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48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投标邀请</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宿豫区</w:t>
      </w:r>
      <w:r>
        <w:rPr>
          <w:rFonts w:ascii="Times New Roman" w:hAnsi="Times New Roman" w:eastAsia="Times New Roman" w:cs="Times New Roman"/>
          <w:color w:val="000000"/>
          <w:sz w:val="24"/>
          <w:u w:val="single"/>
        </w:rPr>
        <w:t xml:space="preserve">2026-2027</w:t>
      </w:r>
      <w:r>
        <w:rPr>
          <w:rFonts w:ascii="SimSun" w:hAnsi="SimSun" w:eastAsia="SimSun" w:cs="SimSun"/>
          <w:color w:val="000000"/>
          <w:sz w:val="24"/>
          <w:u w:val="single"/>
        </w:rPr>
        <w:t xml:space="preserve">年度残疾人意外伤害保险采购项目</w:t>
      </w:r>
      <w:r>
        <w:rPr>
          <w:rFonts w:ascii="Times New Roman" w:hAnsi="Times New Roman" w:eastAsia="Times New Roman" w:cs="Times New Roman"/>
          <w:color w:val="000000"/>
          <w:sz w:val="24"/>
          <w:u w:val="single"/>
        </w:rPr>
        <w:t xml:space="preserve">JSZC-321311-JYGS-G2025-0019)</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招标项目的潜在</w:t>
      </w:r>
      <w:r>
        <w:rPr>
          <w:rFonts w:ascii="SimSun" w:hAnsi="SimSun" w:eastAsia="SimSun" w:cs="SimSun"/>
          <w:color w:val="000000"/>
          <w:sz w:val="24"/>
          <w:u w:val="none"/>
        </w:rPr>
        <w:t xml:space="preserve">投标人应在“苏采云”系统（网址：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23</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JSZC-321311-JYGS-G2025-0019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项目名称：宿豫区</w:t>
      </w:r>
      <w:r>
        <w:rPr>
          <w:rFonts w:ascii="Times New Roman" w:hAnsi="Times New Roman" w:eastAsia="Times New Roman" w:cs="Times New Roman"/>
          <w:color w:val="000000"/>
          <w:sz w:val="24"/>
        </w:rPr>
        <w:t xml:space="preserve">2026-2027</w:t>
      </w:r>
      <w:r>
        <w:rPr>
          <w:rFonts w:ascii="SimSun" w:hAnsi="SimSun" w:eastAsia="SimSun" w:cs="SimSun"/>
          <w:color w:val="000000"/>
          <w:sz w:val="24"/>
        </w:rPr>
        <w:t xml:space="preserve">年度残疾人意外伤害保险采购项目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年，两年合计约</w:t>
      </w: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设定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最高限价，最高限价为</w:t>
      </w:r>
      <w:r>
        <w:rPr>
          <w:rFonts w:ascii="Times New Roman" w:hAnsi="Times New Roman" w:eastAsia="Times New Roman" w:cs="Times New Roman"/>
          <w:color w:val="000000"/>
          <w:sz w:val="24"/>
          <w:u w:val="single"/>
        </w:rPr>
        <w:t xml:space="preserve">40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人，</w:t>
      </w:r>
      <w:r>
        <w:rPr>
          <w:rFonts w:ascii="SimSun" w:hAnsi="SimSun" w:eastAsia="SimSun" w:cs="SimSun"/>
          <w:color w:val="000000"/>
          <w:sz w:val="24"/>
        </w:rPr>
        <w:t xml:space="preserve">残疾人约</w:t>
      </w:r>
      <w:r>
        <w:rPr>
          <w:rFonts w:ascii="Times New Roman" w:hAnsi="Times New Roman" w:eastAsia="Times New Roman" w:cs="Times New Roman"/>
          <w:color w:val="000000"/>
          <w:sz w:val="24"/>
        </w:rPr>
        <w:t xml:space="preserve">13000</w:t>
      </w:r>
      <w:r>
        <w:rPr>
          <w:rFonts w:ascii="SimSun" w:hAnsi="SimSun" w:eastAsia="SimSun" w:cs="SimSun"/>
          <w:color w:val="000000"/>
          <w:sz w:val="24"/>
        </w:rPr>
        <w:t xml:space="preserve">人，每年度投保时以投保人提供的实际名单人数出具保险单，保险期间承保人对新增人数及时出具批单。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采购需求（简介）：宿豫区</w:t>
      </w:r>
      <w:r>
        <w:rPr>
          <w:rFonts w:ascii="Times New Roman" w:hAnsi="Times New Roman" w:eastAsia="Times New Roman" w:cs="Times New Roman"/>
          <w:color w:val="000000"/>
          <w:sz w:val="24"/>
        </w:rPr>
        <w:t xml:space="preserve">2026-2027</w:t>
      </w:r>
      <w:r>
        <w:rPr>
          <w:rFonts w:ascii="SimSun" w:hAnsi="SimSun" w:eastAsia="SimSun" w:cs="SimSun"/>
          <w:color w:val="000000"/>
          <w:sz w:val="24"/>
        </w:rPr>
        <w:t xml:space="preserve">年度残疾人意外伤害保险采购项目，按照《江苏省“十四五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”残疾人事业发展规划》（苏政办发〔</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号）、《关于印发宿迁市残疾人意外伤害保险实施办法（试行）的通知》（宿残联发</w:t>
      </w:r>
      <w:r>
        <w:rPr>
          <w:rFonts w:ascii="Times New Roman" w:hAnsi="Times New Roman" w:eastAsia="Times New Roman" w:cs="Times New Roman"/>
          <w:color w:val="000000"/>
          <w:sz w:val="24"/>
        </w:rPr>
        <w:t xml:space="preserve">[2017]65</w:t>
      </w:r>
      <w:r>
        <w:rPr>
          <w:rFonts w:ascii="SimSun" w:hAnsi="SimSun" w:eastAsia="SimSun" w:cs="SimSun"/>
          <w:color w:val="000000"/>
          <w:sz w:val="24"/>
        </w:rPr>
        <w:t xml:space="preserve">号）文件要求开展此次采购项目。承保方式实行共保体模式，由不超过</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个商保公司共同组成意外险共保体。评标委员会根据评审后的排名选择前</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名组成共保体。（详细内容见本招标文件第四章）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该项目有多个中标候选人，评标委员会根据评审后投标人排序推荐中标候选人。投标文件满足招标文件全部实质性要求，且评审后排序第一的投标人为第一主承保中标候选人；排名第二、第三的投标人为共保体中标候选人。</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--2027</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时止。</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投标人须是经中国银行保险监督管理委员会或国家金融监管局批准设立的中国境内保险公司或分支机构，且须提供保险监督管理机构颁发的《保险许可证》（接受分公司或支公司投标）。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所投保险产品，必须已经保险监督管理机构正式批准或报备同意。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依据《中华人民共和国政府采购法实施条例》第十八条规定，单位负责人为同一人或者存在直接控股、管理关系的不同供应商，不得参加同一合同项下的政府采购活动。供应商有此规定情形的，中标、成交无效。</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w:t>
      </w:r>
      <w:r>
        <w:rPr>
          <w:rFonts w:ascii="Times New Roman" w:hAnsi="Times New Roman" w:eastAsia="Times New Roman" w:cs="Times New Roman"/>
          <w:color w:val="000000"/>
          <w:sz w:val="24"/>
        </w:rPr>
        <w:t xml:space="preserve"> 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23</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个工作日。招标公告发布媒体：宿迁市政府采购网、江苏省财政部门指定的媒体。</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0527-84465519</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18762803891</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rPr>
          <w:rFonts w:ascii="Times New Roman" w:hAnsi="Times New Roman" w:eastAsia="Times New Roman" w:cs="Times New Roman"/>
          <w:color w:val="000000"/>
          <w:sz w:val="24"/>
        </w:rPr>
        <w:t xml:space="preserve"> </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称：</w:t>
      </w:r>
      <w:r>
        <w:rPr>
          <w:rFonts w:ascii="SimSun" w:hAnsi="SimSun" w:eastAsia="SimSun" w:cs="SimSun"/>
          <w:color w:val="000000"/>
          <w:sz w:val="24"/>
          <w:u w:val="none"/>
        </w:rPr>
        <w:t xml:space="preserve">宿迁市宿豫区残疾人联合会</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宿豫区残疾人联合会（宿豫区贺兰山路</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号）</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费荣花</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0527-84285887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称：</w:t>
      </w:r>
      <w:r>
        <w:rPr>
          <w:rFonts w:ascii="SimSun" w:hAnsi="SimSun" w:eastAsia="SimSun" w:cs="SimSun"/>
          <w:color w:val="000000"/>
          <w:sz w:val="24"/>
          <w:u w:val="single"/>
        </w:rPr>
        <w:t xml:space="preserve">建银工程咨询有限责任公司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沈鹏程</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19895801091</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、有关本次招标的事项若存在变动或修改，敬请及时关注“宿迁市政府采购网”等平台更正公告。</w:t>
      </w:r>
      <w:r/>
    </w:p>
    <w:p>
      <w:pPr>
        <w:ind w:left="0" w:right="0" w:firstLine="482"/>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本次招标不收取投标保证金。</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pStyle w:val="652"/>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第二章</w:t>
      </w:r>
      <w:r>
        <w:rPr>
          <w:rFonts w:ascii="Times New Roman" w:hAnsi="Times New Roman" w:eastAsia="Times New Roman" w:cs="Times New Roman"/>
          <w:b/>
          <w:color w:val="000000"/>
          <w:sz w:val="44"/>
        </w:rPr>
        <w:t xml:space="preserve">  </w:t>
      </w:r>
      <w:r>
        <w:rPr>
          <w:rFonts w:ascii="SimHei" w:hAnsi="SimHei" w:eastAsia="SimHei" w:cs="SimHei"/>
          <w:b/>
          <w:color w:val="000000"/>
          <w:sz w:val="44"/>
        </w:rPr>
        <w:t xml:space="preserve">投标人须知</w:t>
      </w:r>
      <w:r/>
    </w:p>
    <w:p>
      <w:pPr>
        <w:pStyle w:val="654"/>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 4.2.2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号文件标准的</w:t>
      </w:r>
      <w:r>
        <w:rPr>
          <w:rFonts w:ascii="Times New Roman" w:hAnsi="Times New Roman" w:eastAsia="Times New Roman" w:cs="Times New Roman"/>
          <w:color w:val="000000"/>
          <w:sz w:val="24"/>
          <w:u w:val="single"/>
        </w:rPr>
        <w:t xml:space="preserve"> 58.75 % </w:t>
      </w:r>
      <w:r>
        <w:rPr>
          <w:rFonts w:ascii="SimSun" w:hAnsi="SimSun" w:eastAsia="SimSun" w:cs="SimSun"/>
          <w:color w:val="000000"/>
          <w:sz w:val="24"/>
          <w:u w:val="single"/>
        </w:rPr>
        <w:t xml:space="preserve">计取代理费。</w:t>
      </w:r>
      <w:r>
        <w:rPr>
          <w:rFonts w:ascii="Times New Roman" w:hAnsi="Times New Roman" w:eastAsia="Times New Roman" w:cs="Times New Roman"/>
          <w:color w:val="000000"/>
          <w:sz w:val="24"/>
        </w:rPr>
        <w:t xml:space="preserve">  </w:t>
      </w:r>
      <w:r/>
    </w:p>
    <w:p>
      <w:pPr>
        <w:pStyle w:val="656"/>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投标人一旦参加本项目采购活动，即被认为接受了本招标文件的规定和约束。</w:t>
      </w:r>
      <w:r/>
    </w:p>
    <w:p>
      <w:pPr>
        <w:pStyle w:val="654"/>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56"/>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w:t>
      </w:r>
      <w:r>
        <w:rPr>
          <w:rFonts w:ascii="Times New Roman" w:hAnsi="Times New Roman" w:eastAsia="Times New Roman" w:cs="Times New Roman"/>
          <w:color w:val="000000"/>
          <w:sz w:val="24"/>
        </w:rPr>
        <w:t xml:space="preserve"> </w:t>
      </w:r>
      <w:r/>
    </w:p>
    <w:p>
      <w:pPr>
        <w:pStyle w:val="654"/>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6"/>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除技术性能另有规定外，投标文件所使用的度量衡单位，均须采用国家法定计量单位。</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份。</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11.1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本项目不接受备选的投标方案或有选择的报价，只允许有一个报价。投标报价内容包括：保险服务本身、人工费、培训费、保单上门费、宣传费、税金以及理赔过程中涉及到的其他一切费用。</w:t>
      </w:r>
      <w:r/>
    </w:p>
    <w:p>
      <w:pPr>
        <w:ind w:left="0" w:right="0" w:firstLine="47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异常低价响应审查</w:t>
      </w:r>
      <w:r/>
    </w:p>
    <w:p>
      <w:pPr>
        <w:ind w:left="0" w:right="0" w:firstLine="47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12.4.1</w:t>
      </w:r>
      <w:r>
        <w:rPr>
          <w:rFonts w:ascii="SimSun" w:hAnsi="SimSun" w:eastAsia="SimSun" w:cs="SimSun"/>
          <w:color w:val="000000"/>
          <w:sz w:val="24"/>
        </w:rPr>
        <w:t xml:space="preserve">评审过程中出现下列情形之一的，评审小组应当启动异常低价响应审查程序：</w:t>
      </w:r>
      <w:r/>
    </w:p>
    <w:p>
      <w:pPr>
        <w:ind w:left="0" w:right="0" w:firstLine="47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）最后报价低于采购项目预算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的，即最后报价＜采购项目预算×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7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）最后报价低于采购项目最高限价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的，即最后报价＜采购项目最高限价×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7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）评审小组认定的供应商最后报价过低（含明显低于其他通过符合性审查供应商的最后报价）、有可能影响产品质量或者不能诚信履约的其他情形。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12.4.2</w:t>
      </w:r>
      <w:r>
        <w:rPr>
          <w:rFonts w:ascii="SimSun" w:hAnsi="SimSun" w:eastAsia="SimSun" w:cs="SimSun"/>
          <w:color w:val="000000"/>
          <w:sz w:val="24"/>
        </w:rPr>
        <w:t xml:space="preserve">启动异常低价响应审查后，评审小组应当要求相关投标人在合理的时间内，提供项目具体成本测算等与报价合理性相关的书面说明材料及相关证明材料，对最后价格作出解释，由评审小组结合同类产品在主要电商平台的价格、该行业当地薪资水平等情况，依据专业经验对投标人报价合理性进行判断。投标人不提供书面说明、证明材料，或者提供的书面说明、证明材料不能证明其报价合理性的，评审小组应当将其作为无效响应处理。审查相关情况应当在评标报告中进行记录。</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中标人的投标文件作为项目服务合同的附件，其有效期至中标人全部合同义务履行完毕为止。</w:t>
      </w:r>
      <w:r>
        <w:rPr>
          <w:rFonts w:ascii="Times New Roman" w:hAnsi="Times New Roman" w:eastAsia="Times New Roman" w:cs="Times New Roman"/>
          <w:color w:val="000000"/>
          <w:sz w:val="24"/>
        </w:rPr>
        <w:t xml:space="preserve"> </w:t>
      </w:r>
      <w:r/>
    </w:p>
    <w:p>
      <w:pPr>
        <w:pStyle w:val="654"/>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6"/>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采购代理机构拒绝接收在其规定的投标截止时间后上传的任何投标文件。</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20.1.2</w:t>
      </w:r>
      <w:r>
        <w:rPr>
          <w:rFonts w:ascii="SimSun" w:hAnsi="SimSun" w:eastAsia="SimSun" w:cs="SimSun"/>
          <w:color w:val="000000"/>
          <w:sz w:val="24"/>
        </w:rPr>
        <w:t xml:space="preserve">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 </w:t>
      </w:r>
      <w:r>
        <w:rPr>
          <w:rFonts w:ascii="SimSun" w:hAnsi="SimSun" w:eastAsia="SimSun" w:cs="SimSun"/>
          <w:color w:val="000000"/>
          <w:sz w:val="24"/>
        </w:rPr>
        <w:t xml:space="preserve">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 </w:t>
      </w:r>
      <w:r>
        <w:rPr>
          <w:rFonts w:ascii="SimSun" w:hAnsi="SimSun" w:eastAsia="SimSun" w:cs="SimSun"/>
          <w:color w:val="000000"/>
          <w:sz w:val="24"/>
        </w:rPr>
        <w:t xml:space="preserve">在投标截止时间至招标文件中规定的投标有效期满之间的这段时间内，投标人不得撤回其投标。</w:t>
      </w:r>
      <w:r/>
    </w:p>
    <w:p>
      <w:pPr>
        <w:pStyle w:val="654"/>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、开标</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 </w:t>
      </w:r>
      <w:r>
        <w:rPr>
          <w:rFonts w:ascii="SimSun" w:hAnsi="SimSun" w:eastAsia="SimSun" w:cs="SimSun"/>
          <w:color w:val="000000"/>
          <w:sz w:val="24"/>
        </w:rPr>
        <w:t xml:space="preserve">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投标人如果对开标过程和开标记录有疑义，应当根据《操作手册》规定提出，如</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、评委会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22.1</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22.2 </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22.3</w:t>
      </w:r>
      <w:r>
        <w:rPr>
          <w:rFonts w:ascii="SimSun" w:hAnsi="SimSun" w:eastAsia="SimSun" w:cs="SimSun"/>
          <w:color w:val="000000"/>
          <w:sz w:val="24"/>
        </w:rPr>
        <w:t xml:space="preserve">评委会独立工作，负责评审所有投标文件并确定中标候选人。</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 </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24.3 </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25.1.1 </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25.1.2 </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 </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25.6</w:t>
      </w:r>
      <w:r>
        <w:rPr>
          <w:rFonts w:ascii="SimSun" w:hAnsi="SimSun" w:eastAsia="SimSun" w:cs="SimSun"/>
          <w:color w:val="000000"/>
          <w:sz w:val="24"/>
        </w:rPr>
        <w:t xml:space="preserve">投标人在开、评标全过程中随时保持系统在线，及时在“苏采云”系统查阅、答复相关信息。</w:t>
      </w:r>
      <w:r/>
    </w:p>
    <w:p>
      <w:pPr>
        <w:pStyle w:val="656"/>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、无效投标条款和废标条款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投标人未按照招标文件要求上传电子投标文件的。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同一投标人提交两个（含两个）以上不同的投标报价的。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26.1.6</w:t>
      </w:r>
      <w:r>
        <w:rPr>
          <w:rFonts w:ascii="SimSun" w:hAnsi="SimSun" w:eastAsia="SimSun" w:cs="SimSun"/>
          <w:color w:val="000000"/>
          <w:sz w:val="24"/>
        </w:rPr>
        <w:t xml:space="preserve">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26.1.7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26.1.8 </w:t>
      </w:r>
      <w:r>
        <w:rPr>
          <w:rFonts w:ascii="SimSun" w:hAnsi="SimSun" w:eastAsia="SimSun" w:cs="SimSun"/>
          <w:color w:val="000000"/>
          <w:sz w:val="24"/>
        </w:rPr>
        <w:t xml:space="preserve">投标人被“信用中国”网（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26.1.9 </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26.1.12 </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26.1.13</w:t>
      </w:r>
      <w:r>
        <w:rPr>
          <w:rFonts w:ascii="SimSun" w:hAnsi="SimSun" w:eastAsia="SimSun" w:cs="SimSun"/>
          <w:color w:val="000000"/>
          <w:sz w:val="24"/>
        </w:rPr>
        <w:t xml:space="preserve">其他法律、法规及本招标文件规定的属无效投标的情形。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26.2.1</w:t>
      </w:r>
      <w:r>
        <w:rPr>
          <w:rFonts w:ascii="SimSun" w:hAnsi="SimSun" w:eastAsia="SimSun" w:cs="SimSun"/>
          <w:color w:val="000000"/>
          <w:sz w:val="24"/>
        </w:rPr>
        <w:t xml:space="preserve">符合专业条件的投标人或者对招标文件作实质响应的投标人不足三家的。</w:t>
      </w:r>
      <w:r>
        <w:rPr>
          <w:rFonts w:ascii="Times New Roman" w:hAnsi="Times New Roman" w:eastAsia="Times New Roman" w:cs="Times New Roman"/>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26.2.5 </w:t>
      </w:r>
      <w:r>
        <w:rPr>
          <w:rFonts w:ascii="SimSun" w:hAnsi="SimSun" w:eastAsia="SimSun" w:cs="SimSun"/>
          <w:color w:val="000000"/>
          <w:sz w:val="24"/>
        </w:rPr>
        <w:t xml:space="preserve">因“苏采云”系统系统故障原因造成开标不成功的。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 </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654"/>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定标</w:t>
      </w:r>
      <w:r/>
    </w:p>
    <w:p>
      <w:pPr>
        <w:pStyle w:val="656"/>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27</w:t>
      </w:r>
      <w:r>
        <w:rPr>
          <w:rFonts w:ascii="SimHei" w:hAnsi="SimHei" w:eastAsia="SimHei" w:cs="SimHei"/>
          <w:color w:val="000000"/>
          <w:sz w:val="30"/>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中标候选人的选取原则和数量见招标文件第五章规定。</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27.5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27.5.4</w:t>
      </w:r>
      <w:r>
        <w:rPr>
          <w:rFonts w:ascii="SimSun" w:hAnsi="SimSun" w:eastAsia="SimSun" w:cs="SimSun"/>
          <w:color w:val="000000"/>
          <w:sz w:val="24"/>
        </w:rPr>
        <w:t xml:space="preserve">不同投标人的投标文件异常一致或者投标报价呈规律性差异。</w:t>
      </w:r>
      <w:r/>
    </w:p>
    <w:p>
      <w:pPr>
        <w:pStyle w:val="656"/>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 </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 </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宿迁市宿豫区残疾人联合会或建银工程咨询有限责任公司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费荣花</w:t>
      </w:r>
      <w:r>
        <w:rPr>
          <w:rFonts w:ascii="Times New Roman" w:hAnsi="Times New Roman" w:eastAsia="Times New Roman" w:cs="Times New Roman"/>
          <w:color w:val="000000"/>
          <w:sz w:val="24"/>
          <w:u w:val="single"/>
        </w:rPr>
        <w:t xml:space="preserve">0527-84285887</w:t>
      </w:r>
      <w:r>
        <w:rPr>
          <w:rFonts w:ascii="SimSun" w:hAnsi="SimSun" w:eastAsia="SimSun" w:cs="SimSun"/>
          <w:color w:val="000000"/>
          <w:sz w:val="24"/>
          <w:u w:val="single"/>
        </w:rPr>
        <w:t xml:space="preserve">或沈鹏程</w:t>
      </w:r>
      <w:r>
        <w:rPr>
          <w:rFonts w:ascii="Times New Roman" w:hAnsi="Times New Roman" w:eastAsia="Times New Roman" w:cs="Times New Roman"/>
          <w:color w:val="000000"/>
          <w:sz w:val="24"/>
          <w:u w:val="single"/>
        </w:rPr>
        <w:t xml:space="preserve">19895801091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宿豫区残疾人联合会（宿豫区贺兰山路</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号）或宿迁市宿城区黄河路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56"/>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654"/>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6"/>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 </w:t>
      </w:r>
      <w:r>
        <w:rPr>
          <w:rFonts w:ascii="SimHei" w:hAnsi="SimHei" w:eastAsia="SimHei" w:cs="SimHei"/>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本项目的非主体、非关键性工作是否允许分包按以下第</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Times New Roman" w:hAnsi="Times New Roman" w:eastAsia="Times New Roman" w:cs="Times New Roman"/>
          <w:color w:val="000000"/>
          <w:sz w:val="24"/>
          <w:u w:val="single"/>
        </w:rPr>
        <w:t xml:space="preserve">  1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rPr>
          <w:rFonts w:ascii="SimSun" w:hAnsi="SimSun" w:eastAsia="SimSun" w:cs="SimSun"/>
          <w:color w:val="000000"/>
          <w:sz w:val="24"/>
        </w:rPr>
        <w:t xml:space="preserve">按采购合同总价的</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 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656"/>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w:t>
      </w:r>
      <w:r>
        <w:rPr>
          <w:rFonts w:ascii="SimHei" w:hAnsi="SimHei" w:eastAsia="SimHei" w:cs="SimHei"/>
          <w:color w:val="000000"/>
          <w:sz w:val="30"/>
        </w:rPr>
        <w:t xml:space="preserve">、服务（包含与服务相关的货物）的追加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pStyle w:val="656"/>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32</w:t>
      </w:r>
      <w:r>
        <w:rPr>
          <w:rFonts w:ascii="SimHei" w:hAnsi="SimHei" w:eastAsia="SimHei" w:cs="SimHei"/>
          <w:color w:val="000000"/>
          <w:sz w:val="30"/>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w:t>
      </w:r>
      <w:r>
        <w:rPr>
          <w:rFonts w:ascii="SimSun" w:hAnsi="SimSun" w:eastAsia="SimSun" w:cs="SimSun"/>
          <w:b/>
          <w:color w:val="000000"/>
          <w:sz w:val="24"/>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因本项目采购需求特殊，由采购人自行组织验收或者委托采购代理机构验收。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34</w:t>
      </w:r>
      <w:r>
        <w:rPr>
          <w:rFonts w:ascii="SimSun" w:hAnsi="SimSun" w:eastAsia="SimSun" w:cs="SimSun"/>
          <w:b/>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被保险人的保险费由甲方全额承担，保单出具后按每一个保险期间支付至该保险期间保险费的90%，剩余10%待考核后一次性支付。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注：1.本项目以所有中标人投标单价报价的平均值（含小数点后两位）作为最终保险费结算价格。</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宿豫区2026-2027年度残疾人意外伤害保险采购项目合同（参考）</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第一部分 专用条款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采购单位（甲方）： </w:t>
      </w:r>
      <w:r>
        <w:rPr>
          <w:rFonts w:ascii="FangSong" w:hAnsi="FangSong" w:eastAsia="FangSong" w:cs="FangSong"/>
          <w:color w:val="000000"/>
          <w:sz w:val="24"/>
          <w:u w:val="single"/>
        </w:rPr>
        <w:t xml:space="preserve">宿迁市宿豫区残疾人联合会</w:t>
      </w:r>
      <w:r>
        <w:rPr>
          <w:rFonts w:ascii="FangSong" w:hAnsi="FangSong" w:eastAsia="FangSong" w:cs="FangSong"/>
          <w:color w:val="000000"/>
          <w:sz w:val="24"/>
        </w:rPr>
        <w:t xml:space="preserve">（简称甲方）</w:t>
      </w:r>
      <w:r/>
    </w:p>
    <w:p>
      <w:pPr>
        <w:ind w:left="0" w:right="0" w:firstLine="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承保人（乙方）（共保体）：1.</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（第一中标人）</w:t>
      </w:r>
      <w:r/>
    </w:p>
    <w:p>
      <w:pPr>
        <w:ind w:left="0" w:right="0" w:firstLine="312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（第二中标人）</w:t>
      </w:r>
      <w:r/>
    </w:p>
    <w:p>
      <w:pPr>
        <w:ind w:left="0" w:right="0" w:firstLine="312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（第三中标人）</w:t>
      </w:r>
      <w:r/>
    </w:p>
    <w:p>
      <w:pPr>
        <w:ind w:left="0" w:right="0" w:firstLine="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依照《中华人民共和国政府采购法》、《中华人民共和国民法典》、《中华人民共和国保险法》及其他有关法律、行政法规，遵循平等、自愿、公平和诚实信用的原则，双方就</w:t>
      </w:r>
      <w:r>
        <w:rPr>
          <w:rFonts w:ascii="FangSong" w:hAnsi="FangSong" w:eastAsia="FangSong" w:cs="FangSong"/>
          <w:color w:val="000000"/>
          <w:sz w:val="24"/>
          <w:u w:val="single"/>
        </w:rPr>
        <w:t xml:space="preserve">宿豫区2026-2027年度残疾人意外伤害保险采购项目</w:t>
      </w:r>
      <w:r>
        <w:rPr>
          <w:rFonts w:ascii="FangSong" w:hAnsi="FangSong" w:eastAsia="FangSong" w:cs="FangSong"/>
          <w:color w:val="000000"/>
          <w:sz w:val="24"/>
        </w:rPr>
        <w:t xml:space="preserve">相关事项协商一致，达成如下合同条款：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一、投保人、保险人、被保险人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1、投保人为甲方，统一负责使用财政专项资金为被保险人向乙方投保宿迁市宿豫区残疾人意外伤害险。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2、保险人为乙方，负责宿迁市宿豫区残疾人意外伤害险的承保，并按照本合同条款履行保险责任。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二、保险期限、保险范围、赔付比例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1.保险期限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本协议的保险期限为两年，自2026年01月01日起至2027年12月31日止。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保险期限以保险单载明的起讫时间为准。保险合同载明的追溯期为2年，即本项目保险保障截止日期为2029年12月31日。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2.保险范围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保险期间或保险合同载明的追溯期内，凡具有宿迁市宿豫区户籍，持有第二代《中华人民共和国残疾人证》的残疾人，因发生意外事故造成的人身损害，首次确诊重大疾病，在保险期间内向保险人提出损害赔偿请求的，保险人按照保险合同的约定负责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3.赔偿限额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（1）人身意外伤害身故赔偿限额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（2）人身意外伤害残疾根据伤残评定等级（1-10 级）确定赔付标准，赔付标准按等级1-10 级逐级递增10%，最低为10 级，赔偿限额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元/人；</w:t>
      </w:r>
      <w:r/>
    </w:p>
    <w:p>
      <w:pPr>
        <w:ind w:left="681" w:right="0" w:hanging="1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（3）附加意外伤害医疗赔偿限额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元/人（其中门诊最高限额</w:t>
      </w:r>
      <w:r/>
    </w:p>
    <w:p>
      <w:pPr>
        <w:ind w:left="600" w:right="0" w:hanging="60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元/人，免赔条件：扣除100 元后按合规医疗费的90%赔付）；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（4）因首次确诊重大疾病发生住院医疗费用自付部分，按70%补偿，补偿限额最高10000 元/人；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（5）经二级及以上医疗机构首次确诊的重大疾病赔偿限额10000 元/人；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（6）意外伤害住院津贴、首次确诊重大疾病住院津贴赔偿限额100 元/天/人，最高90 天，免赔1 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10000 元，补偿比例50%，限额6000元/人/年予以补偿。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①参加社会医疗保险人员的医疗费用先由医保赔偿，剩余部分由本保险承担；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②未参加社会医疗保险人员的医疗费用赔偿,在本项目医疗费用赔偿限额内赔付。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4.重大疾病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本项目重大疾病包括中国保险行业协会与中国医师协会发布的《重大疾病保险的疾病定义使用规范（2020 年修订版》28 种重疾。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28 种重疾：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恶性肿瘤—重度、较重急性心肌梗死、严重脑中风后遗症、重大器官移植术或造血干细胞移植术、冠状动脉搭桥术（或称冠状动脉旁路移植术）、严重慢性肾衰竭、多个肢体缺失、急性重症肝炎或亚急性重症肝炎、严重非恶性颅内肿瘤、严重慢性肝衰竭、严重脑炎后遗症或严重脑膜炎后遗症、深度昏迷、双耳失聪、双目失明、瘫痪、心脏瓣膜手术、严重阿尔茨海默病、严重脑损伤、严重原发性帕金森病、严重Ⅲ度烧伤、严重特发性肺动脉高压、严重运动神经元病、语言能力丧失、重型再生障碍性贫血、主动脉手术、严重慢性呼吸衰竭、严重克罗恩病、严重溃疡性结肠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5.保险费及支付方式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 保险费</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元/年/人，2026年、2027年初投保时，分别以实际名单人数出具保险单。保险费由宿迁市宿豫区残疾人联合会支付。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 保险期间承保人对人数增减及时出具批单。每个保险年度内新增办理残疾人证人员直接参保，新增人数不超过年初投保时总数10%的，免缴保费，超过部分的保费调增统计于每年保单到期前分批次或到期后30 日内报甲方批准申请支付。每个保险年度内新增办证被保险人批单收费计算公式：保险费单价/12月×实际参保月数×人数。</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6.承包份额</w:t>
      </w:r>
      <w:r/>
    </w:p>
    <w:p>
      <w:pPr>
        <w:ind w:left="0" w:right="0" w:firstLine="48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本项目由</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个商保公司共同组成意外险共保体。按照投标人得分顺序确定第</w:t>
      </w: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中标人。</w:t>
      </w:r>
      <w:r/>
    </w:p>
    <w:p>
      <w:pPr>
        <w:ind w:left="0" w:right="0" w:firstLine="48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第一中标人为主承保单位，负责做好意外险共保体牵头等方面工作；第二、第三中标人为次承保单位，按得分排序，承保相应份额（具体份额占比详见下表），并根据中标份额承担相应人力物力等资源配置，配合主承保单位做好意外险各项工作。</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8"/>
        <w:gridCol w:w="3032"/>
        <w:gridCol w:w="2265"/>
        <w:gridCol w:w="22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年度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2027</w:t>
            </w:r>
            <w:r>
              <w:rPr>
                <w:rFonts w:ascii="FangSong" w:hAnsi="FangSong" w:eastAsia="FangSong" w:cs="FangSong"/>
                <w:color w:val="000000"/>
                <w:sz w:val="24"/>
              </w:rPr>
              <w:t xml:space="preserve">年度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bl>
    <w:p>
      <w:pPr>
        <w:ind w:left="0" w:right="0" w:firstLine="36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本项目如第一中标人发生不能履行主承保单位职责情形时，由第二中标人代为承担相关工作职责，其余中标人按得分排序递补承担相应份额， 剩余份额按承保份额占比分摊。</w:t>
      </w:r>
      <w:r/>
    </w:p>
    <w:p>
      <w:pPr>
        <w:ind w:left="0" w:right="0" w:firstLine="36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7.其他说明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项目资金使用单向调节机制。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本项目要求赔付率控制在保险费的85%及以上。若第一个保险期间期满时</w:t>
      </w:r>
      <w:r>
        <w:rPr>
          <w:rFonts w:ascii="SimSun" w:hAnsi="SimSun" w:eastAsia="SimSun" w:cs="SimSun"/>
          <w:color w:val="000000"/>
          <w:sz w:val="24"/>
        </w:rPr>
        <w:t xml:space="preserve">（2026年1月1日至2026年12月31日）</w:t>
      </w:r>
      <w:r>
        <w:rPr>
          <w:rFonts w:ascii="FangSong" w:hAnsi="FangSong" w:eastAsia="FangSong" w:cs="FangSong"/>
          <w:color w:val="000000"/>
          <w:sz w:val="24"/>
        </w:rPr>
        <w:t xml:space="preserve">，赔付率未达到85%，则不足部分作为第二个保险期间</w:t>
      </w:r>
      <w:r>
        <w:rPr>
          <w:rFonts w:ascii="SimSun" w:hAnsi="SimSun" w:eastAsia="SimSun" w:cs="SimSun"/>
          <w:color w:val="000000"/>
          <w:sz w:val="24"/>
        </w:rPr>
        <w:t xml:space="preserve">（2027年1月1日至2027年12月31日）</w:t>
      </w:r>
      <w:r>
        <w:rPr>
          <w:rFonts w:ascii="FangSong" w:hAnsi="FangSong" w:eastAsia="FangSong" w:cs="FangSong"/>
          <w:color w:val="000000"/>
          <w:sz w:val="24"/>
        </w:rPr>
        <w:t xml:space="preserve">保险费的优惠额度；第二个保险期间</w:t>
      </w:r>
      <w:r>
        <w:rPr>
          <w:rFonts w:ascii="SimSun" w:hAnsi="SimSun" w:eastAsia="SimSun" w:cs="SimSun"/>
          <w:color w:val="000000"/>
          <w:sz w:val="24"/>
        </w:rPr>
        <w:t xml:space="preserve">（2027年1月1日至2027年12月31日）</w:t>
      </w:r>
      <w:r>
        <w:rPr>
          <w:rFonts w:ascii="FangSong" w:hAnsi="FangSong" w:eastAsia="FangSong" w:cs="FangSong"/>
          <w:color w:val="000000"/>
          <w:sz w:val="24"/>
        </w:rPr>
        <w:t xml:space="preserve">期满时，该保险期间赔付率未达到85%，则保险人应根据政府需求承担相应不足部分费用的扶残助残项目给付责任。赔付率指简单赔付率（计算公式：当年度已决赔款/当年度保险费）。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7.2乙方负责本项目的投保、出单、宣传及理赔工作，每月至少与甲方会商一次项目实施情况。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 乙方按月度汇总承保及理赔数据，于次月10 日前向经纪公司（如有）和甲方提交承保及理赔数据月报和提供已赔付保费的回执单及明细，并于保险年度结束后 15 日内递交承保及理赔数据年报。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 乙方须将保单送至投保人手中，并为所有参保残疾人提供保险理赔政策告知单。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7.5 乙方应在接到理赔申请后详细告知申请人需要提供的材料，如申请人符合理赔条件，乙方不得以材料不齐等拖延赔付，应通过预赔付等机制及时履约。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7.6乙方在合同有效期内需接受甲方监督。如 1年内发生任何有效投诉超过 3起(含)，一经查实，立即终止乙方的资格，情节严重的，取消中标资格，如有向参保残疾人另行收取保费、截留挪用保险赔偿金的,由甲方视情处理，构成违法的，依法处理。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7.7 因残联信息系统偶有数据更新滞后情况发生，可能存在少数持证残疾人相关信息未能及时显示，如该部分被保险人保险期间出险，但所持残疾人证发证时间早于保单生效日前，保险人承担保险赔偿责任，如有争议以甲方出具的相关证明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7.8 因残疾人所持《残疾人证》更换而造成的残疾类别、等级变动，不影响原有持证事实的，已经投保的残疾人，不作为新增残疾人重复核算保费，不因残疾人证变化而影响理赔。</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三、甲方的权利与义务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1.有权定期或不定期对乙方服务承诺履行情况进行监督检查。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2.有权委托第三方对乙方开展本项业务履约情况进行监督、评估。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1.按时支付保费。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2.准确核实参保人员名单，做好保费调整工作。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四、乙方的权利与义务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1.有权收取保险费。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2.有权就保险期间出险的风险增加或扩大等情况向甲方反馈。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1.对甲方提供的被保险人信息以及相关资料承担保密责任，不得用于其他用途，不得向第三方泄露。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2.不得以任何理由推卸、拖延和拒绝被保险人索赔要求，除非有合理和足够的证据证明，否则其行为构成违约并承担违约责任；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3.未经甲方书面同意，乙方不得将本保险合同业务转包。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4.接到被保险人报案后，应尽早赶赴事故现场开始初步调查并提出止损建议，一次性及时告知被保险人配合提供以下索赔材料：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A：身份证复印件；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B：意外伤害医疗：（1）住院：就诊病例、发票、出院小结、诊断书、长期或临时医嘱单、其他材料等；（2）门诊：医疗机构诊断书、门诊病历、门诊费发票；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C:残疾证明（构成残疾的）；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D：医疗死亡证明、火化证明、户口注销证明（构成死亡的）；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E:重大疾病：提供二级及以上医疗机构首次诊断确诊证明资料；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F:重大疾病补充医疗：除提供重大疾病资料外，还需提供住院发票、出院小结、诊断书等资料。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5.收到被保险人的理赔资料后，对材料齐全、无需调查且属于保险责任范围的，应在</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个工作日内履行给付保险金义务；对需要调查的案件，按服务承诺做出理赔决定，同时将理赔有关情况报经纪公司备案。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6.因招标原因，合同签订日期在2026年01 月01 日之后的，乙方承诺保险在2026年1 月1 日生效，并承担在此期间的赔偿责任。</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五、共保体成员责任</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乙方根据中标结果组成共保体，分别负责承保份额内意外险业务工作。</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1.共保体成员在领取中标通知书15日内签订共保体协议，共保体协议为政府采购合同的附件。</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2.主承保人组织并负责共保体成员按要求签订共保体协议，制定共保体服务章程，建立服务制度。</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3.合同履约期内主承保人召集讨论经办过程中存在的问题并提出完善措施。</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4.合同履约期内主承保人按月组织共保体成员开展业务培训，互学互评等提升经办业务的交流活动。</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5.合同履约期内，主承保人根据甲方要求，按月出具意外险运行数据。</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6.共保体成员需配合主承保人工作，按要求履行合同及共保体协议。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六、付款方式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进度款：被保险人的保险费由甲方全额承担，保单出具后按每一个保险期间支付至该保险期间保险费的90%，剩余10%待考核后一次性支付。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注：1.本项目以所有中标人投标单价报价的平均值（含小数点后两位）作为最终保险费结算价格。</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七、争议处理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甲乙双方在出现违约或其它争议时，应本着友好协商，解决予盾的原则来处理，尽量使事情有一个圆满的解决方案。如甲乙双方协商不成时，可采取以下方式: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1.变更和修改合同;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2.终止合作协议;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3.可向宿迁仲裁委员会提出仲裁。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本项目不收取履约保证金。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九、违约条款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FangSong" w:hAnsi="FangSong" w:eastAsia="FangSong" w:cs="FangSong"/>
          <w:color w:val="000000"/>
          <w:sz w:val="24"/>
        </w:rPr>
        <w:t xml:space="preserve">乙方不按期完成合同约定的内容，应向甲方支付违约金，除甲方或不可抗力造成原因外，未按要求执行保单，每有一次按合同总价款的2‰支付违约金; 延期超过 15 个工作日，甲方有权解除合同。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2.合同签订后，乙方不履行理赔义务的，每发现一例，应向甲方支付理赔金的</w:t>
      </w:r>
      <w:r>
        <w:rPr>
          <w:rFonts w:ascii="FangSong" w:hAnsi="FangSong" w:eastAsia="FangSong" w:cs="FangSong"/>
          <w:color w:val="000000"/>
          <w:sz w:val="24"/>
          <w:u w:val="single"/>
        </w:rPr>
        <w:t xml:space="preserve">2</w:t>
      </w:r>
      <w:r>
        <w:rPr>
          <w:rFonts w:ascii="FangSong" w:hAnsi="FangSong" w:eastAsia="FangSong" w:cs="FangSong"/>
          <w:color w:val="000000"/>
          <w:sz w:val="24"/>
        </w:rPr>
        <w:t xml:space="preserve">倍。甲方可从合同价款中直接扣除。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3.合同签订后，乙方不及时履行理赔义务的，每迟延一日，按理赔金额1%加罚违约金。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4.合同签订后，乙方不能按人出具并送达保险清单的，向甲方支付违约金 20000元。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5.非因甲方原因，乙方不履行本合同规定的义务，致使工作延误，甲方有权要求其履行或解除合同，并要求乙方等额赔偿由此造成的一切损失。</w:t>
      </w:r>
      <w:r/>
    </w:p>
    <w:p>
      <w:pPr>
        <w:ind w:left="0" w:right="0" w:firstLine="48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保险服务期间，乙方如达到以下条件的，每发生一起 ，甲方有权按对应处罚金额从合同价款中扣除作为违约金（其他服务承诺中的保障内容违约参照本条款执行）。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（1）24小时接报案电话或具体业务理赔经办人未能及时受理案件的（被保险人 24小时内拨打任意一个电话三次，无人接听、也无回复，且能提供证据的；或有人接听，未有效处理的），每一次处罚1000元；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（2）未按照投标文件承诺理赔时效履行赔付义务的（以本合 同“ A.理赔时效”内容为 依据），每一次处罚3000元；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（3）违反本合同相关责任与义务，受到被保险人投诉举报，经核实事实成立的，每一次 处罚3000元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（4）未按投标文件承诺做好保险项目宣传工作的（以乙方承担宣传工作具体内容为准），每一次处罚1000元；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（5）未及时提供上门服务的（依据投标文件承诺内容），每一次处罚1000元；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（6）未及时赴事故现场的（依据投标文件承诺内容），每一次处罚1000元；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（7）承保后未定期分别向市、区主管部门上报理赔情况的（依据投标文件承诺内容），每一次处罚 1000元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（8）对被保险人合理索赔诉求故意刁难、拖延、设置障碍的（被保险人应提供相关事实 证据并经甲方核实），每一次处罚3000元，通报批评；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（9）对应承担的赔偿责任推诿，故意减轻保险责任或减少赔付额度的（被保险人应提供相关事实证据并经甲方核 实），每一次处罚3000元，通报批评；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（10）对赔付金额低于1万元（含1万元）人身受理案件没有在响应文件中承诺的工作日内支付到位的（以乙方收到齐全的本协议中规定的理赔材料当日至实际打款日计算）， 每一次处罚1000元；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（11）对赔付金额1万元至2万元（含2万元）人身受理案件没有在响应文件中承诺的工作日内支付到位的（以乙方收到齐全的本协议中规定的理赔材料当日至实际打款日 计算），每一次处罚2000元；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（12）对赔付金额2万元至3万元（含3万元）人身受理案件没有在响应文件中承诺的工作日内支付到位的（以乙方收到齐全的本协议中规定的理赔材料当日至实际打款日计算），每 一次处罚3000元；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（13）故意制造假赔案，套取保险赔款的（以保险监管部门或甲方委托的保险经纪公司调查后认可为依据），每一次处10000元，通报批评，涉嫌犯罪的移交司法部门。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十、合同生效及审核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本合同经甲方、乙方签字盖章后生效实施，合同签订的内容不能超出招标文件和投标文件的实质性内容。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十一、其他有关事项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1.本协议执行期间，相关法律法规和社会保险政策有变动或调整的，按新规定执行。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2.乙方办理赔付业务时出现新情况或遭遇突发事件，要及时通报甲方。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3.甲乙双方无论以何种理由终止合同，须提前 30 日以书面形式函告对方。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十二、合同份数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份，以中文书写，甲方、乙方各执</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份，采购代理机构、财政监管部门各</w:t>
      </w:r>
      <w:r>
        <w:rPr>
          <w:rFonts w:ascii="FangSong" w:hAnsi="FangSong" w:eastAsia="FangSong" w:cs="FangSong"/>
          <w:color w:val="000000"/>
          <w:sz w:val="24"/>
          <w:u w:val="single"/>
        </w:rPr>
        <w:t xml:space="preserve">壹</w:t>
      </w:r>
      <w:r>
        <w:rPr>
          <w:rFonts w:ascii="FangSong" w:hAnsi="FangSong" w:eastAsia="FangSong" w:cs="FangSong"/>
          <w:color w:val="000000"/>
          <w:sz w:val="24"/>
        </w:rPr>
        <w:t xml:space="preserve">份。</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十三、本合同一切未尽事宜，按合同法有关规定执行，无相关规定的，由甲乙双方协商解决。</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十四、适用法律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本合同应按照中华人民共和国的现行法律进行解释。</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乙方1：</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乙方2：</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乙方3：</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（盖章）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法定（授权）代表人：</w:t>
      </w:r>
      <w:r>
        <w:rPr>
          <w:rFonts w:ascii="FangSong" w:hAnsi="FangSong" w:eastAsia="FangSong" w:cs="FangSong"/>
          <w:color w:val="000000"/>
          <w:sz w:val="24"/>
          <w:u w:val="single"/>
        </w:rPr>
        <w:t xml:space="preserve">                  </w:t>
      </w:r>
      <w:r/>
    </w:p>
    <w:p>
      <w:pPr>
        <w:ind w:left="0" w:right="0" w:firstLine="0"/>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不接受</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进口产品。</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按照《江苏省“十四五 ”残疾人事业发展规划》（苏政办发〔2021〕82 号）、《关于印发宿迁市残疾人意外伤害保险实施办法（试行）的通知》（宿残联发[2017]65号）文件要求，</w:t>
      </w:r>
      <w:r>
        <w:rPr>
          <w:rFonts w:ascii="SimSun" w:hAnsi="SimSun" w:eastAsia="SimSun" w:cs="SimSun"/>
          <w:color w:val="000000"/>
          <w:sz w:val="24"/>
        </w:rPr>
        <w:t xml:space="preserve">充分发挥商业保险的社会保障作用，帮助残疾人增强对意外伤害和重大疾病的抵抗能力，减轻家庭、社会和政府的负担，结合宿豫实际，开展本次残疾人意外险项目。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该项目有多个中标候选人，评标委员会根据评审后投标人排序推荐中标候选人。投标文件满足招标文件全部实质性要求，按评审后得分由高到低顺序对投标人进行排序。得分相同的，按投标报价由低到高顺序排序。评审后排序第一的投标人为第一主承保中标候选人；排名第二、第三的投标人为共保体中标候选人（如得分且投标报价相同的并列，平均分配相对应排名的承保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宿豫区2026-2027年度残疾人意外伤害保险采购项目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预算金额：104万元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最高限单价（如有）：40 元/人/年，残疾人约 13000人/年，</w:t>
      </w:r>
      <w:r>
        <w:rPr>
          <w:rFonts w:ascii="FangSong" w:hAnsi="FangSong" w:eastAsia="FangSong" w:cs="FangSong"/>
          <w:color w:val="000000"/>
          <w:sz w:val="24"/>
        </w:rPr>
        <w:t xml:space="preserve">投保期两年，</w:t>
      </w:r>
      <w:r>
        <w:rPr>
          <w:rFonts w:ascii="SimSun" w:hAnsi="SimSun" w:eastAsia="SimSun" w:cs="SimSun"/>
          <w:color w:val="000000"/>
          <w:sz w:val="24"/>
        </w:rPr>
        <w:t xml:space="preserve">投保时以实际名单人数出具保险单，保险期间承保人对人数增减及时出具批单。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二、项目需求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承保服务：</w:t>
      </w:r>
      <w:r>
        <w:rPr>
          <w:rFonts w:ascii="SimSun" w:hAnsi="SimSun" w:eastAsia="SimSun" w:cs="SimSun"/>
          <w:color w:val="000000"/>
          <w:sz w:val="24"/>
        </w:rPr>
        <w:t xml:space="preserve">合格投标人需根据本项目实际需求提供专业的承保服务</w:t>
      </w:r>
      <w:r>
        <w:rPr>
          <w:rFonts w:ascii="FangSong" w:hAnsi="FangSong" w:eastAsia="FangSong" w:cs="FangSong"/>
          <w:color w:val="000000"/>
          <w:sz w:val="24"/>
        </w:rPr>
        <w:t xml:space="preserve">，包括但不限于提供上门服务、简化索赔手续、结案速度、特色服务及超值服务等并针对项目进行编制。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理赔服务、理赔专家组及理赔风险化解、赔款支付时限及保障措施：合格投标人需提供便捷的理赔服务，包括快速赶赴现场、建立理赔绿色通道、提供报案热线及专项服务人员、成立理赔专家组、制定理赔服务措施、承诺理赔赔款支付时限及有针对的编制保障措施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宣传服务：合格投标人需注重保险宣传、集中宣传的方式方法、承诺等并针对本项目进行编制。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应急预案及其他服务：投标人提供应急预案，包括但不限于建立应急预案管理，就突发意外事故建立应急方案。能够主动配合区、市主管部门工作，建立完善的信息反馈系统等，针对本项目进行编制及承诺。</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三、商务需求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（一）保险责任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保险责任范围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保险期间或保险合同载明的追溯期内，凡具有宿迁市宿豫区户籍，持有第二代《中华人民共和国残疾人证》的残疾人，因发生意外事故造成的人身损害，首次确诊重大疾病，在保险期间内向保险人提出损害赔偿请求的，保险人按照保险合同的约定负责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赔偿限额。投标人所报赔偿限额应不低于下列对应赔偿限额：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（1）人身意外伤害身故基础赔偿限额20000元/人；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（2）人身意外伤害残疾根据伤残评定等级（1-10 级）确定赔付标准，赔付标准按等级1-10 级逐级递增10%，最低为10级，基础赔偿限额50000元/人；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（3）附加意外伤害医疗基础赔偿限额20000元/人（其中门诊最高限额2000元/人，免赔条件：扣除100 元后按合规医疗费的90%赔付）；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（4）因首次确诊重大疾病发生住院医疗费用自付部分，按70%补偿，补偿限额最高10000 元/人；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（5）经二级及以上医疗机构首次确诊的重大疾病赔偿限额10000 元/人；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（6）意外伤害住院津贴、首次确诊重大疾病住院津贴赔偿限额100 元/天/人，最高90 天，免赔1 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6000元/人/年予以补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①参加社会医疗保险人员的医疗费用先由医保赔偿，剩余部分由本保险承担；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②未参加社会医疗保险人员的医疗费用赔偿，在本项目医疗费用赔偿限额内赔付。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（二）保险期间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1.本项目中标合同期为两年，自2026年01月01日起至2027年12月31日止。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2.本项目保险期限以保险单载明的起讫时间为准。保险合同载明的追溯期为2年，即本项目保险保障截止日期为2029 年12 月31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（四）保险条款说明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投标人应提供保险条款作为合同组成部分。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（五）其他说明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关于投保人数。本项目参保残疾人约13000人/年，出单前以宿迁市宿豫区残联提供的实际名单人数为准。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关于保险费及调整。本项目最高投标限价为每人每年保费40元，投保时以实际名单人数出具保险单，保险期间承保人对人数增减及时出具批单。每个保险年度内新增办理残疾人证人员直接参保，新增人数不超过年初投保时总数10%的，免缴保费，超过部分的保费调增统计于每年保单到期前分批次或到期后30 日内报宿迁市宿豫区残联批准申请支付。每个保险年度内新增办证被保险人批单收费计算公式：保险费单价/12月×实际参保月数×人数。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关于死亡、伤残、医疗费用等原始凭证复印件的认可。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保险人同意：死亡、伤残、医疗费用等原始凭证在社会医疗保险机构处理赔偿时已经留档不能分割的，该原始凭证复印件可用于本项目理赔时作为依据凭证。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项目资金使用单向调节机制。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本项目要求赔付率控制在保险费的85%及以上。若第一个保险期间期满时</w:t>
      </w:r>
      <w:r>
        <w:rPr>
          <w:rFonts w:ascii="SimSun" w:hAnsi="SimSun" w:eastAsia="SimSun" w:cs="SimSun"/>
          <w:color w:val="000000"/>
          <w:sz w:val="24"/>
        </w:rPr>
        <w:t xml:space="preserve">（2026年1月1日至2026年12月31日）</w:t>
      </w:r>
      <w:r>
        <w:rPr>
          <w:rFonts w:ascii="FangSong" w:hAnsi="FangSong" w:eastAsia="FangSong" w:cs="FangSong"/>
          <w:color w:val="000000"/>
          <w:sz w:val="24"/>
        </w:rPr>
        <w:t xml:space="preserve">，赔付率未达到85%，则不足部分作为第二个保险期间</w:t>
      </w:r>
      <w:r>
        <w:rPr>
          <w:rFonts w:ascii="SimSun" w:hAnsi="SimSun" w:eastAsia="SimSun" w:cs="SimSun"/>
          <w:color w:val="000000"/>
          <w:sz w:val="24"/>
        </w:rPr>
        <w:t xml:space="preserve">（2027年1月1日至2027年12月31日）</w:t>
      </w:r>
      <w:r>
        <w:rPr>
          <w:rFonts w:ascii="FangSong" w:hAnsi="FangSong" w:eastAsia="FangSong" w:cs="FangSong"/>
          <w:color w:val="000000"/>
          <w:sz w:val="24"/>
        </w:rPr>
        <w:t xml:space="preserve">保险费的优惠额度；第二个保险期间</w:t>
      </w:r>
      <w:r>
        <w:rPr>
          <w:rFonts w:ascii="SimSun" w:hAnsi="SimSun" w:eastAsia="SimSun" w:cs="SimSun"/>
          <w:color w:val="000000"/>
          <w:sz w:val="24"/>
        </w:rPr>
        <w:t xml:space="preserve">（2027年1月1日至2027年12月31日）</w:t>
      </w:r>
      <w:r>
        <w:rPr>
          <w:rFonts w:ascii="FangSong" w:hAnsi="FangSong" w:eastAsia="FangSong" w:cs="FangSong"/>
          <w:color w:val="000000"/>
          <w:sz w:val="24"/>
        </w:rPr>
        <w:t xml:space="preserve">期满时，该保险期间赔付率未达到85%，则保险人应根据政府需求承担相应不足部分费用的扶残助残项目给付责任。赔付率指简单赔付率（计算公式：当年度已决赔款/当年度保险费）。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赔偿处理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（1）基本原则：保险人不得以任何理由推卸、拖延和拒绝被保险人索赔要求，除非有合理和足够的证据证明，否则其行为构成违约并承担违约责任；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（2）保险人接到被保险人报案后，尽早赶赴事故现场开始初步调查并提出止损建议，一次性及时告知被保险人配合提供以下索赔材料：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A：身份证复印件；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B：意外伤害医疗：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住院：就诊病例、发票、出院小结、诊断书、长期或临时医嘱单、其他材料等；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门诊：医疗机构诊断书、门诊病历、门诊费发票；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C:残疾证明（构成残疾的）；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D：医疗死亡证明、火化证明、户口注销证明（构成死亡的）；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E：重大疾病：提供二级及以上医疗机构首次诊断确诊证明资料；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F：重大疾病补充医疗：除提供重大疾病资料外，还需提供住院发票、出院小结、诊断书等资料。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被保险人尽可能为保险人、公估人（由经纪公司指定）调查和取证工作保留事故现场；对确因运营需要而无法留待保险人/公估人查勘的事故现场，被保险人应尽可能留下照片、录像、文字记录供保险人审核之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（4）涉及有责任的第三方事故时，被保险人不能在获得保险人书面同意以前放弃向其追索的权利；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（5）关于保险合同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本招标文件投保残疾人员名单、保险单、今后可能产生的批单、书面询问/答疑和双方往来函电等共同构成保险合同；构成保险合同的所有文件被认为是一个整体，相互说明、相互补充，如条文含义不明确时，按保险法有关规定办理，当文件间相互矛盾时，以本招标文件及最终协议为准，采购人具有解释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投标人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重大疾病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本项目重大疾病包括中国保险行业协会与中国医师协会发布的《重大疾病保险的疾病定义使用规范（2020 年修订版》28 种重疾。</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28 种重疾：恶性肿瘤—重度、较重急性心肌梗死、严重脑中风后遗症、重大器官移植术或造血干细胞移植术、冠状动脉搭桥术（或称冠状动脉旁路移植术）、严重慢性肾衰竭、多个肢体缺失、急性重症肝炎或亚急性重症肝炎、严重非恶性颅内肿瘤、严重慢性肝衰竭、严重脑炎后遗症或严重脑膜炎后遗症、深度昏迷、双耳失聪、双目失明、瘫痪、心脏瓣膜手术、严重阿尔茨海默病、严重脑损伤、严重原发性帕金森病、严重Ⅲ度烧伤、严重特发性肺动脉高压、严重运动神经元病、语言能力丧失、重型再生障碍性贫血、主动脉手术、严重慢性呼吸衰竭、严重克罗恩病、严重溃疡</w:t>
      </w:r>
      <w:r>
        <w:rPr>
          <w:rFonts w:ascii="FangSong" w:hAnsi="FangSong" w:eastAsia="FangSong" w:cs="FangSong"/>
          <w:b/>
          <w:color w:val="000000"/>
          <w:sz w:val="24"/>
        </w:rPr>
        <w:t xml:space="preserve">性结肠炎。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50种重疾:</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组：严重多发性硬化、重症肌无力、严重冠心病、严重心肌病、系统性红斑狼疮-III型或以上狼疮性肾炎、胰岛素依赖型糖尿病（I型糖尿病）、肺源性心脏病、植物人状态、严重类风湿性关节炎、非阿尔茨海默病所致严重痴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组：严重系统性硬皮病、急性坏死性胰腺炎开腹手术、肾髓质囊性病、严重的原发性硬化性胆管炎、溶血性链球菌引起的坏疽、严重肌营养不良、肝豆状核变性、侵蚀性葡萄胎、细菌性脑脊髓膜炎、严重感染性心内膜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组：严重的骨髓增生异常综合征、疾病或外伤所致智力障碍、主动脉夹层水肿、重症急性坏死性筋膜炎、骨髓纤维化、严重慢性缩窄性心包炎、主动脉夹层瘤、特发性慢性肾上腺皮质功能减退、颅脑手术、严重心肌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第四组：破裂脑动脉瘤夹闭手术、严重肠道疾病并发症、严重面部烧伤、弥漫性血管内凝血、肺淋巴管肌瘤病、肺泡蛋白质沉积症、严重大动脉炎、严重结核性脑膜炎、艾森门格综合征、重症手足口病。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组：严重肾上腺脑白质营养不良、经输血感染艾滋病病毒（HIV)、多处臂丛神经根性撕脱、严重哮喘(25周岁前理赔）、严重川崎病、严重自身免疫性肝炎、严重III度房室传导阻滞、亚急性硬化性全脑炎、脊髓小脑变性症、血管性痴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 其他约定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（1）经招标确定的承保人负责承保份额内的投保、出单、宣传及理赔工作，每月至少与承保区域的宿迁市宿豫区残联会商一次项目实施情况。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（2）承保人按月度汇总承保及理赔数据，于次月10 日前向承保区域的宿迁市宿豫区残联提交承保及理赔数据月报和提供已赔付保费的回执单及明细，并于保险年度结束后15 日内递交承保及理赔数据年报。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（3）承保人须将保单送至投保人手中，并为所有参保残疾人提供保险理赔政策告知单。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（4）承保人应在接到理赔申请后详细告知申请人需要提供的材料，如申请人符合理赔条件，承保人不得以材料不齐等拖延赔付，应通过预赔付等机制及时履约。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（5）承保人在合同有效期内需接受宿迁市宿豫区残联监督。如1 年内发生任何有效投诉超过3 起（含），一经查实，立即终止承保人的资格，情节严重的，取消中标资格，如有向参保残疾人另行收取保费、截留挪用保险赔偿金的，由采购人视情处理，构成违法的，依法处理。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四、付款方式</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被保险人的保险费由甲方全额承担，保单出具后按每一个保险期间支付至该保险期间保险费的</w:t>
      </w:r>
      <w:r>
        <w:rPr>
          <w:rFonts w:ascii="FangSong" w:hAnsi="FangSong" w:eastAsia="FangSong" w:cs="FangSong"/>
          <w:color w:val="000000"/>
          <w:sz w:val="24"/>
        </w:rPr>
        <w:t xml:space="preserve">90%</w:t>
      </w:r>
      <w:r>
        <w:rPr>
          <w:rFonts w:ascii="FangSong" w:hAnsi="FangSong" w:eastAsia="FangSong" w:cs="FangSong"/>
          <w:color w:val="000000"/>
          <w:sz w:val="24"/>
          <w:u w:val="none"/>
        </w:rPr>
        <w:t xml:space="preserve">，剩余</w:t>
      </w:r>
      <w:r>
        <w:rPr>
          <w:rFonts w:ascii="FangSong" w:hAnsi="FangSong" w:eastAsia="FangSong" w:cs="FangSong"/>
          <w:color w:val="000000"/>
          <w:sz w:val="24"/>
        </w:rPr>
        <w:t xml:space="preserve">10%</w:t>
      </w:r>
      <w:r>
        <w:rPr>
          <w:rFonts w:ascii="FangSong" w:hAnsi="FangSong" w:eastAsia="FangSong" w:cs="FangSong"/>
          <w:color w:val="000000"/>
          <w:sz w:val="24"/>
          <w:u w:val="none"/>
        </w:rPr>
        <w:t xml:space="preserve">待考核后一次性支付。</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注：1.本项目以所有中标人投标单价报价的平均值（含小数点后两位）作为最终保险费结算价格。</w:t>
      </w:r>
      <w:r/>
    </w:p>
    <w:p>
      <w:pPr>
        <w:ind w:left="0" w:right="0" w:firstLine="480"/>
        <w:jc w:val="both"/>
        <w:spacing w:before="0" w:after="200" w:line="6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五、承保份额</w:t>
      </w:r>
      <w:r/>
    </w:p>
    <w:p>
      <w:pPr>
        <w:ind w:left="0" w:right="0" w:firstLine="48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本项目由</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个商保公司共同组成意外险共保体。按照投标人得分顺序确定第</w:t>
      </w:r>
      <w:r>
        <w:rPr>
          <w:rFonts w:ascii="Times New Roman" w:hAnsi="Times New Roman" w:eastAsia="Times New Roman" w:cs="Times New Roman"/>
          <w:color w:val="000000"/>
          <w:sz w:val="24"/>
        </w:rPr>
        <w:t xml:space="preserve">1-3</w:t>
      </w:r>
      <w:r>
        <w:rPr>
          <w:rFonts w:ascii="FangSong" w:hAnsi="FangSong" w:eastAsia="FangSong" w:cs="FangSong"/>
          <w:color w:val="000000"/>
          <w:sz w:val="24"/>
        </w:rPr>
        <w:t xml:space="preserve">中标人。</w:t>
      </w:r>
      <w:r/>
    </w:p>
    <w:p>
      <w:pPr>
        <w:ind w:left="0" w:right="0" w:firstLine="48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第一中标人为主承保单位，负责做好意外险共保体牵头等方面工作；第二、第三中标人为次承保单位，按得分排序，承保相应份额（具体份额占比详见下表），并根据中标份额承担相应人力物力等资源配置，配合主承保单位做好意外险各项工作。</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8"/>
        <w:gridCol w:w="3032"/>
        <w:gridCol w:w="2265"/>
        <w:gridCol w:w="22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年度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2027</w:t>
            </w:r>
            <w:r>
              <w:rPr>
                <w:rFonts w:ascii="FangSong" w:hAnsi="FangSong" w:eastAsia="FangSong" w:cs="FangSong"/>
                <w:color w:val="000000"/>
                <w:sz w:val="24"/>
              </w:rPr>
              <w:t xml:space="preserve">年度</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2"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bl>
    <w:p>
      <w:pPr>
        <w:ind w:left="0" w:right="0" w:firstLine="36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本项目如第一中标人发生不能履行主承保单位职责情形时，由第二中标人代为承担相关工作职责；其余中标人按得分排序递补承担相应份额， 剩余份额按承保份额占比分摊。</w:t>
      </w:r>
      <w:r/>
    </w:p>
    <w:p>
      <w:pPr>
        <w:ind w:left="0" w:right="0" w:firstLine="360"/>
        <w:jc w:val="both"/>
        <w:spacing w:before="0"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1.若因招标等原因，合同签订日期无法保证在2026年01 月01 日之前的，投标中标人承诺在2026年1月1日生效，并承担在此期间的赔偿责任。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2.投标人报价时应充分考虑所有可能影响报价的价格因素，一旦评标结束最终成交，不予调整。如发现缺、漏、少项，都将被认为投标人的让利行为，损失自负。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因残联信息系统偶有数据更新滞后情况发生，可能存在少数持证残疾人相关信息未能及时显示，如该部分被保险人保险期间出险，但所持残疾人证发证时间早于保单生效日前，保险人承担保险赔偿责任，如有争议以宿迁市宿豫区残联出具的相关证明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4.因残疾人所持《残疾人证》更换而造成的残疾类别、等级变动，不影响原有持证事实的，已经投保的残疾人，不作为新增残疾人重复核算保费，不因残疾人证变化而影响理赔。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5.本项目以所有中标人投标单价报价的平均值（含小数点后两位）作为最终保险费结算价格。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第五章</w:t>
      </w:r>
      <w:r>
        <w:rPr>
          <w:rFonts w:ascii="Times New Roman" w:hAnsi="Times New Roman" w:eastAsia="Times New Roman" w:cs="Times New Roman"/>
          <w:color w:val="000000"/>
          <w:sz w:val="44"/>
        </w:rPr>
        <w:t xml:space="preserve">  </w:t>
      </w:r>
      <w:r>
        <w:rPr>
          <w:rFonts w:ascii="Times New Roman" w:hAnsi="Times New Roman" w:eastAsia="Times New Roman" w:cs="Times New Roman"/>
          <w:b/>
          <w:color w:val="000000"/>
          <w:sz w:val="44"/>
        </w:rPr>
        <w:t xml:space="preserve"> </w:t>
      </w:r>
      <w:r>
        <w:rPr>
          <w:rFonts w:ascii="SimHei" w:hAnsi="SimHei" w:eastAsia="SimHei" w:cs="SimHei"/>
          <w:b/>
          <w:color w:val="000000"/>
          <w:sz w:val="44"/>
        </w:rPr>
        <w:t xml:space="preserve">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平均分配相对应排名的承保份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rPr>
          <w:rFonts w:ascii="Times New Roman" w:hAnsi="Times New Roman" w:eastAsia="Times New Roman" w:cs="Times New Roman"/>
          <w:color w:val="000000"/>
          <w:sz w:val="24"/>
        </w:rPr>
        <w:t xml:space="preserve"> </w:t>
      </w:r>
      <w:r/>
    </w:p>
    <w:p>
      <w:pPr>
        <w:ind w:left="0" w:right="0" w:firstLine="241"/>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1"/>
        <w:gridCol w:w="1059"/>
        <w:gridCol w:w="478"/>
        <w:gridCol w:w="6956"/>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1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采用低价优先法计算，即满足招标文件要求且投标单价最低的报价为评标基准价，其得分为10</w:t>
            </w:r>
            <w:r>
              <w:rPr>
                <w:rFonts w:ascii="FangSong" w:hAnsi="FangSong" w:eastAsia="FangSong" w:cs="FangSong"/>
                <w:color w:val="000000"/>
                <w:sz w:val="22"/>
              </w:rPr>
              <w:t xml:space="preserve">分，其他投标人投标单价得分</w:t>
            </w:r>
            <w:r>
              <w:rPr>
                <w:rFonts w:ascii="SimSun" w:hAnsi="SimSun" w:eastAsia="SimSun" w:cs="SimSun"/>
                <w:color w:val="000000"/>
                <w:sz w:val="22"/>
              </w:rPr>
              <w:t xml:space="preserve">=</w:t>
            </w:r>
            <w:r>
              <w:rPr>
                <w:rFonts w:ascii="FangSong" w:hAnsi="FangSong" w:eastAsia="FangSong" w:cs="FangSong"/>
                <w:color w:val="000000"/>
                <w:sz w:val="22"/>
              </w:rPr>
              <w:t xml:space="preserve">（评标基准价</w:t>
            </w:r>
            <w:r>
              <w:rPr>
                <w:rFonts w:ascii="SimSun" w:hAnsi="SimSun" w:eastAsia="SimSun" w:cs="SimSun"/>
                <w:color w:val="000000"/>
                <w:sz w:val="22"/>
              </w:rPr>
              <w:t xml:space="preserve">/</w:t>
            </w:r>
            <w:r>
              <w:rPr>
                <w:rFonts w:ascii="FangSong" w:hAnsi="FangSong" w:eastAsia="FangSong" w:cs="FangSong"/>
                <w:color w:val="000000"/>
                <w:sz w:val="22"/>
              </w:rPr>
              <w:t xml:space="preserve">投标单价）</w:t>
            </w:r>
            <w:r>
              <w:rPr>
                <w:rFonts w:ascii="SimSun" w:hAnsi="SimSun" w:eastAsia="SimSun" w:cs="SimSun"/>
                <w:color w:val="000000"/>
                <w:sz w:val="22"/>
              </w:rPr>
              <w:t xml:space="preserve">×10</w:t>
            </w:r>
            <w:r>
              <w:rPr>
                <w:rFonts w:ascii="FangSong" w:hAnsi="FangSong" w:eastAsia="FangSong" w:cs="FangSong"/>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注：符合规定的小微企业（含监狱企业和残疾人福利单位）报价给予</w:t>
            </w:r>
            <w:r>
              <w:rPr>
                <w:rFonts w:ascii="Times New Roman" w:hAnsi="Times New Roman" w:eastAsia="Times New Roman" w:cs="Times New Roman"/>
                <w:color w:val="000000"/>
                <w:sz w:val="21"/>
              </w:rPr>
              <w:t xml:space="preserve"> 10%</w:t>
            </w:r>
            <w:r>
              <w:rPr>
                <w:rFonts w:ascii="SimSun" w:hAnsi="SimSun" w:eastAsia="SimSun" w:cs="SimSun"/>
                <w:color w:val="000000"/>
                <w:sz w:val="21"/>
              </w:rPr>
              <w:t xml:space="preserve">的扣除，用扣除后的价格参加评审</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赔偿限额响应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赔偿限额响应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评标委员会根据投标文件中分项报价表进行评审，共分为</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项。以投标人所报赔偿限额等于或大于或响应本项目采购需求中赔偿限额计算。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、人身意外伤害身故基础赔偿限额</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人，基础分值</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分，每增加</w:t>
            </w:r>
            <w:r>
              <w:rPr>
                <w:rFonts w:ascii="Times New Roman" w:hAnsi="Times New Roman" w:eastAsia="Times New Roman" w:cs="Times New Roman"/>
                <w:color w:val="000000"/>
                <w:sz w:val="21"/>
              </w:rPr>
              <w:t xml:space="preserve"> 5000</w:t>
            </w:r>
            <w:r>
              <w:rPr>
                <w:rFonts w:ascii="SimSun" w:hAnsi="SimSun" w:eastAsia="SimSun" w:cs="SimSun"/>
                <w:color w:val="000000"/>
                <w:sz w:val="21"/>
              </w:rPr>
              <w:t xml:space="preserve">元得</w:t>
            </w:r>
            <w:r>
              <w:rPr>
                <w:rFonts w:ascii="Times New Roman" w:hAnsi="Times New Roman" w:eastAsia="Times New Roman" w:cs="Times New Roman"/>
                <w:color w:val="000000"/>
                <w:sz w:val="21"/>
              </w:rPr>
              <w:t xml:space="preserve"> 0.5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、人身意外伤害残疾根据伤残评定等级（</w:t>
            </w:r>
            <w:r>
              <w:rPr>
                <w:rFonts w:ascii="Times New Roman" w:hAnsi="Times New Roman" w:eastAsia="Times New Roman" w:cs="Times New Roman"/>
                <w:color w:val="000000"/>
                <w:sz w:val="21"/>
              </w:rPr>
              <w:t xml:space="preserve">1-10 </w:t>
            </w:r>
            <w:r>
              <w:rPr>
                <w:rFonts w:ascii="SimSun" w:hAnsi="SimSun" w:eastAsia="SimSun" w:cs="SimSun"/>
                <w:color w:val="000000"/>
                <w:sz w:val="21"/>
              </w:rPr>
              <w:t xml:space="preserve">级）确定赔付标准，基础赔偿限额每人</w:t>
            </w:r>
            <w:r>
              <w:rPr>
                <w:rFonts w:ascii="Times New Roman" w:hAnsi="Times New Roman" w:eastAsia="Times New Roman" w:cs="Times New Roman"/>
                <w:color w:val="000000"/>
                <w:sz w:val="21"/>
              </w:rPr>
              <w:t xml:space="preserve">50000</w:t>
            </w:r>
            <w:r>
              <w:rPr>
                <w:rFonts w:ascii="SimSun" w:hAnsi="SimSun" w:eastAsia="SimSun" w:cs="SimSun"/>
                <w:color w:val="000000"/>
                <w:sz w:val="21"/>
              </w:rPr>
              <w:t xml:space="preserve">元，基础分值</w:t>
            </w:r>
            <w:r>
              <w:rPr>
                <w:rFonts w:ascii="Times New Roman" w:hAnsi="Times New Roman" w:eastAsia="Times New Roman" w:cs="Times New Roman"/>
                <w:color w:val="000000"/>
                <w:sz w:val="21"/>
              </w:rPr>
              <w:t xml:space="preserve"> 1</w:t>
            </w:r>
            <w:r>
              <w:rPr>
                <w:rFonts w:ascii="SimSun" w:hAnsi="SimSun" w:eastAsia="SimSun" w:cs="SimSun"/>
                <w:color w:val="000000"/>
                <w:sz w:val="21"/>
              </w:rPr>
              <w:t xml:space="preserve">分，每增加</w:t>
            </w:r>
            <w:r>
              <w:rPr>
                <w:rFonts w:ascii="Times New Roman" w:hAnsi="Times New Roman" w:eastAsia="Times New Roman" w:cs="Times New Roman"/>
                <w:color w:val="000000"/>
                <w:sz w:val="21"/>
              </w:rPr>
              <w:t xml:space="preserve"> 5000</w:t>
            </w:r>
            <w:r>
              <w:rPr>
                <w:rFonts w:ascii="SimSun" w:hAnsi="SimSun" w:eastAsia="SimSun" w:cs="SimSun"/>
                <w:color w:val="000000"/>
                <w:sz w:val="21"/>
              </w:rPr>
              <w:t xml:space="preserve">元得</w:t>
            </w:r>
            <w:r>
              <w:rPr>
                <w:rFonts w:ascii="Times New Roman" w:hAnsi="Times New Roman" w:eastAsia="Times New Roman" w:cs="Times New Roman"/>
                <w:color w:val="000000"/>
                <w:sz w:val="21"/>
              </w:rPr>
              <w:t xml:space="preserve"> 0.5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 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、附加意外伤害医疗基础赔偿限额</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元，基础分值</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分，每增加</w:t>
            </w:r>
            <w:r>
              <w:rPr>
                <w:rFonts w:ascii="Times New Roman" w:hAnsi="Times New Roman" w:eastAsia="Times New Roman" w:cs="Times New Roman"/>
                <w:color w:val="000000"/>
                <w:sz w:val="21"/>
              </w:rPr>
              <w:t xml:space="preserve"> 3000</w:t>
            </w:r>
            <w:r>
              <w:rPr>
                <w:rFonts w:ascii="SimSun" w:hAnsi="SimSun" w:eastAsia="SimSun" w:cs="SimSun"/>
                <w:color w:val="000000"/>
                <w:sz w:val="21"/>
              </w:rPr>
              <w:t xml:space="preserve">元得</w:t>
            </w:r>
            <w:r>
              <w:rPr>
                <w:rFonts w:ascii="Times New Roman" w:hAnsi="Times New Roman" w:eastAsia="Times New Roman" w:cs="Times New Roman"/>
                <w:color w:val="000000"/>
                <w:sz w:val="21"/>
              </w:rPr>
              <w:t xml:space="preserve"> 0.5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、因首次确诊重大疾病发生住院医疗费用自付部分，按</w:t>
            </w:r>
            <w:r>
              <w:rPr>
                <w:rFonts w:ascii="Times New Roman" w:hAnsi="Times New Roman" w:eastAsia="Times New Roman" w:cs="Times New Roman"/>
                <w:color w:val="000000"/>
                <w:sz w:val="21"/>
              </w:rPr>
              <w:t xml:space="preserve"> 70%</w:t>
            </w:r>
            <w:r>
              <w:rPr>
                <w:rFonts w:ascii="SimSun" w:hAnsi="SimSun" w:eastAsia="SimSun" w:cs="SimSun"/>
                <w:color w:val="000000"/>
                <w:sz w:val="21"/>
              </w:rPr>
              <w:t xml:space="preserve">补偿，补偿限额最高</w:t>
            </w:r>
            <w:r>
              <w:rPr>
                <w:rFonts w:ascii="Times New Roman" w:hAnsi="Times New Roman" w:eastAsia="Times New Roman" w:cs="Times New Roman"/>
                <w:color w:val="000000"/>
                <w:sz w:val="21"/>
              </w:rPr>
              <w:t xml:space="preserve"> 10000</w:t>
            </w:r>
            <w:r>
              <w:rPr>
                <w:rFonts w:ascii="SimSun" w:hAnsi="SimSun" w:eastAsia="SimSun" w:cs="SimSun"/>
                <w:color w:val="000000"/>
                <w:sz w:val="21"/>
              </w:rPr>
              <w:t xml:space="preserve">元，完全响应的得</w:t>
            </w: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分，未完全响应的不得分；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、经二级及以上医疗机构首次确诊的重大疾病</w:t>
            </w:r>
            <w:r>
              <w:rPr>
                <w:rFonts w:ascii="Times New Roman" w:hAnsi="Times New Roman" w:eastAsia="Times New Roman" w:cs="Times New Roman"/>
                <w:color w:val="000000"/>
                <w:sz w:val="21"/>
              </w:rPr>
              <w:t xml:space="preserve"> 28</w:t>
            </w:r>
            <w:r>
              <w:rPr>
                <w:rFonts w:ascii="SimSun" w:hAnsi="SimSun" w:eastAsia="SimSun" w:cs="SimSun"/>
                <w:color w:val="000000"/>
                <w:sz w:val="21"/>
              </w:rPr>
              <w:t xml:space="preserve">种（依据中国保险行业协会与中国医师协会发布的《重大疾病保险的疾病定义使用规范（</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年修订版）》）赔偿限额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元，完全响应的得</w:t>
            </w: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分，未完全响应的不得分；采购需求中重大疾病</w:t>
            </w:r>
            <w:r>
              <w:rPr>
                <w:rFonts w:ascii="Times New Roman" w:hAnsi="Times New Roman" w:eastAsia="Times New Roman" w:cs="Times New Roman"/>
                <w:color w:val="000000"/>
                <w:sz w:val="21"/>
              </w:rPr>
              <w:t xml:space="preserve"> 28</w:t>
            </w:r>
            <w:r>
              <w:rPr>
                <w:rFonts w:ascii="SimSun" w:hAnsi="SimSun" w:eastAsia="SimSun" w:cs="SimSun"/>
                <w:color w:val="000000"/>
                <w:sz w:val="21"/>
              </w:rPr>
              <w:t xml:space="preserve">种的基础上，投标人每增加一组重大疾病赔付种类（详见采购需求</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组共计</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种重疾）的得</w:t>
            </w:r>
            <w:r>
              <w:rPr>
                <w:rFonts w:ascii="Times New Roman" w:hAnsi="Times New Roman" w:eastAsia="Times New Roman" w:cs="Times New Roman"/>
                <w:color w:val="000000"/>
                <w:sz w:val="21"/>
              </w:rPr>
              <w:t xml:space="preserve"> 0.4</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分，投标人需提供承诺函（格式自拟），未提供不得分；本项最高得</w:t>
            </w:r>
            <w:r>
              <w:rPr>
                <w:rFonts w:ascii="Times New Roman" w:hAnsi="Times New Roman" w:eastAsia="Times New Roman" w:cs="Times New Roman"/>
                <w:color w:val="000000"/>
                <w:sz w:val="21"/>
              </w:rPr>
              <w:t xml:space="preserve"> 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、意外伤害住院津贴、首次确诊重大疾病住院津贴赔偿限额</w:t>
            </w:r>
            <w:r>
              <w:rPr>
                <w:rFonts w:ascii="Times New Roman" w:hAnsi="Times New Roman" w:eastAsia="Times New Roman" w:cs="Times New Roman"/>
                <w:color w:val="000000"/>
                <w:sz w:val="21"/>
              </w:rPr>
              <w:t xml:space="preserve"> 100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人，最高</w:t>
            </w:r>
            <w:r>
              <w:rPr>
                <w:rFonts w:ascii="Times New Roman" w:hAnsi="Times New Roman" w:eastAsia="Times New Roman" w:cs="Times New Roman"/>
                <w:color w:val="000000"/>
                <w:sz w:val="21"/>
              </w:rPr>
              <w:t xml:space="preserve"> 90</w:t>
            </w:r>
            <w:r>
              <w:rPr>
                <w:rFonts w:ascii="SimSun" w:hAnsi="SimSun" w:eastAsia="SimSun" w:cs="SimSun"/>
                <w:color w:val="000000"/>
                <w:sz w:val="21"/>
              </w:rPr>
              <w:t xml:space="preserve">天，免赔</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天，完全响应的得</w:t>
            </w: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分，未完全响应的不得分；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在医保定点医疗机构住院发生的医保政策范围内住院费用（外购药除外），经基本医保、大病保险、医疗救助、低收入农户大病补充保险账户支付等医保实际报销后，剩余个人自付部分（不含丙类费用），按照起付线</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元，补偿比例</w:t>
            </w:r>
            <w:r>
              <w:rPr>
                <w:rFonts w:ascii="Times New Roman" w:hAnsi="Times New Roman" w:eastAsia="Times New Roman" w:cs="Times New Roman"/>
                <w:color w:val="000000"/>
                <w:sz w:val="21"/>
              </w:rPr>
              <w:t xml:space="preserve"> 50%</w:t>
            </w:r>
            <w:r>
              <w:rPr>
                <w:rFonts w:ascii="SimSun" w:hAnsi="SimSun" w:eastAsia="SimSun" w:cs="SimSun"/>
                <w:color w:val="000000"/>
                <w:sz w:val="21"/>
              </w:rPr>
              <w:t xml:space="preserve">，限额</w:t>
            </w:r>
            <w:r>
              <w:rPr>
                <w:rFonts w:ascii="Times New Roman" w:hAnsi="Times New Roman" w:eastAsia="Times New Roman" w:cs="Times New Roman"/>
                <w:color w:val="000000"/>
                <w:sz w:val="21"/>
              </w:rPr>
              <w:t xml:space="preserve"> 6000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年予以补偿，完全响应的得</w:t>
            </w: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分，未完全响应的不得分。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企业经营业绩、荣誉、偿付能力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2022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日以来（以合同签订时间为准），有与县（区）级及以上政府或县（区）级及以上行政主管部门合作过保险类项目业绩的，首席承保的或单独承保的，每提供一个得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分；非首席承保的，每提供一个得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须提供中标通知书（或成交通知书）、项目合作协议（合同）扫描件</w:t>
            </w:r>
            <w:r>
              <w:rPr>
                <w:rFonts w:ascii="Times New Roman" w:hAnsi="Times New Roman" w:eastAsia="Times New Roman" w:cs="Times New Roma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同一项目与同一单位或部门连续签约的，仅计一次合作业绩（与企业、社会组织等签订协议不得分），协议中能反映投保人名称、投标人名称、主要内容以及签订日期，否则不得分。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企业荣誉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日以来获得县（区）级及以上政府（含领导小组）表彰的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以表彰文件表彰年度或荣誉证书表彰年度为评定依据（表彰落款时间不作为评审年度依据），每有一项得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投标人系统内部或民间社会组织颁发的表彰不计分；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须提供包含投标人名称和获奖年度的荣誉证书或表彰证明文件扫描件，否则不得分。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综合偿付能力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或投标人总公司经审计的2024年末核心偿付能力充足率≥200%的，得12分；150%≤2024年末核心偿付能力充足率﹤200%的，得8分；100%≤2024年末核心偿付能力充足率﹤150%的，得4分；50%≤2024年末核心偿付能力充足率﹤100%的，得2分；2024年末核心偿付能力充足率﹤50%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注：须提供投标人或投标人总公司经审计的2024年末（第四季度）核心偿付能力报告扫描件，否则不得分。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承保服务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投标人提供承保服务方案，包括但不限于提供上门服务、简化索赔手续、结案速度、特色服务及超值服务等。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1.方案完整详实，可操作性高、人力投入和资源融合上优于采购需求，得8分；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2.方案较完整详实，可操作性较高、人力投入和资源融合基本满足采购需求的得5分；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3.方案内容笼统有明显的不足或需要修正，但承诺通过后期优化能够满足采购需求得2分；注：没有内容不得分。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理赔服务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投标人承诺发生事故后，市内赶赴现场时间不超过1小时，异地不超过2小时的得2分。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2.投标人承诺建立理赔绿色通道、提供24 小时报案热线（须提供号码）和专项服务人员联系方式（须提供号码），且专项服务人员电话 24小时开机的得2分。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注：提供满足内容要求的承诺函（格式自拟）。</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理赔专家组及理赔风险化解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投标人提供疑难案件成立理赔专家组及理赔优化措施，包括但不限于提供具体的专家组成人员名单及联系方式、疑难案件的优化方案及措施等。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1.能及时联系沟通且专家组在案件处理上能够优化理赔服务措施，且优化理赔服务措施内容详细具体针对本项目制定，能完全体现优质服务内容的得4分；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2.提供专家组成人员名单及联系方式，专家组在案件处理上提供的优化理赔服务措施内容较为笼统、不能具体体现优质理赔服务内容，但项目措施提升后能够完成优质理赔服务的得3分；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3.未提供专家组成人员名单及联系方式，优化理赔服务措施未细致制定，但承诺经过提升后可实现采购需求的得2分；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注：没有内容或其他情况不满足招标文件需求的不得分。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赔款支付时限及保障措施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投标人提供理赔赔款支付时限承诺及相应保障措施。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1.赔款支付时限：在接到理赔申请后应该详细地告知申请人需要提供的材料，如申请人符合理赔条件，承诺2日内理赔到位的得3分；承诺5日之内理赔到位的得2分；超过5日理赔到位的不得分。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注：提供承诺函（格式自拟），未提供不得分。                                                  2.理赔保障措施：投标人提供理赔保障措施，包括但不限于服务范围、响应时间及理赔保障措施。</w:t>
            </w:r>
            <w:r/>
          </w:p>
          <w:p>
            <w:pPr>
              <w:ind w:left="0" w:right="0" w:firstLine="2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2.1方案完整详实，可操作性高、人力投入和资源融合上优于采购需求且针对本项目制定，符合实际情况的得3分；</w:t>
            </w:r>
            <w:r/>
          </w:p>
          <w:p>
            <w:pPr>
              <w:ind w:left="0" w:right="0" w:firstLine="2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2.2方案较完整详实，可操作性较高、人力投入和资源融合基本满足采购需求且较针对本项目制定的得2分；</w:t>
            </w:r>
            <w:r/>
          </w:p>
          <w:p>
            <w:pPr>
              <w:ind w:left="0" w:right="0" w:firstLine="2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2.3方案及措施内容笼统、可操作性不高，但承诺通过后期优化能够满足采购需求得1分；注：没有内容不得分。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宣传服务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评委根据投标人提供的宣传服务进行打分：                                                1.注重保险宣传，理赔方式宣传到户、到人，增加安全防范宣传举措，宣传服务形式多样、具体，能达到宣传目的并将保单送至被保人，能够详细地告知保险范围、赔偿限额、报案方式及监督联系电话等，得2分；较注重保险宣传，宣传方式及力度有一定限制或单一，将保单送至被保人时能较详细地告知保险范围、赔偿限额、报案方式及监督联系电话等，得1分，没有内容不得分。本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2.集中宣传。能针对残疾人意外险开展专项集中宣传，制作宣传方案并及时做好信息报道，得2分，没有内容不得分；本项最高得2分。                                                         3.承诺中标后，为所有参保残疾人提供保险告知单或总分小保单，告知单或小保单上应有参保人姓名、身份证号码、地址、保障内容、理赔服务及咨询、投诉电话等内容，并分发到位的得4分；以电子保单、新媒介将保单送或传送到参保人，参保信息和理赔服务详细的得3分；本项最高得4分。未承诺的，本项</w:t>
            </w:r>
            <w:r>
              <w:rPr>
                <w:rFonts w:ascii="SimSun" w:hAnsi="SimSun" w:eastAsia="SimSun" w:cs="SimSun"/>
                <w:color w:val="000000"/>
                <w:sz w:val="22"/>
              </w:rPr>
              <w:t xml:space="preserve">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应急预案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投标人提供应急预案，包括但不限于建立应急预案管理，就突发意外事故建立应急方案。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1.方案完整详细，专业、安全、针对本项目制定且优于采购需求的得5分；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方案较完整详细，较专业、较安全、较针对本项目制定能基本采购需求的得3分；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方案内容笼统、仅少部分针对本项目制定，存在一定的局限性，但承诺通过后期优化能够满足采购需求得1分；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注：没有内容不得分。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投标人建立的服务团队，配备的服务团队成员不少于5人得5分；配备的服务团队成员3-4人得3分；配备的服务团队成员2人得1分。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注：团队人员须为正式员工，在本项目服务期内应保持稳定，须提供2025年5月份以任意一月的社保缴纳证明；未提供不得分。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投标人能够主动配合区、市主管部门工作，建立完善的信息反馈系统，如确定可赔付，相关资料不齐全可以后续补齐的，建立预赔付机制服务，承诺提供以上服务的得 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注：提供承诺函（格式自拟），未提供不得分。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名中标候选人，并形成评标报告。</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 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 </w:t>
      </w:r>
      <w:r/>
    </w:p>
    <w:p>
      <w:pPr>
        <w:numPr>
          <w:ilvl w:val="0"/>
          <w:numId w:val="10"/>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 </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Times New Roman" w:hAnsi="Times New Roman" w:eastAsia="Times New Roman" w:cs="Times New Roman"/>
          <w:b/>
          <w:color w:val="000000"/>
          <w:sz w:val="24"/>
          <w:u w:val="single"/>
        </w:rPr>
        <w:t xml:space="preserve"> 2  </w:t>
      </w:r>
      <w:r>
        <w:rPr>
          <w:rFonts w:ascii="SimSun" w:hAnsi="SimSun" w:eastAsia="SimSun" w:cs="SimSun"/>
          <w:color w:val="000000"/>
          <w:sz w:val="24"/>
        </w:rPr>
        <w:t xml:space="preserve">种政策确定本项目落实的中小企业政策：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）投标人提供的服务符合下列情形的，对小微企业报价给予</w:t>
      </w:r>
      <w:r>
        <w:rPr>
          <w:rFonts w:ascii="Times New Roman" w:hAnsi="Times New Roman" w:eastAsia="Times New Roman" w:cs="Times New Roman"/>
          <w:color w:val="000000"/>
          <w:sz w:val="24"/>
          <w:u w:val="single"/>
        </w:rPr>
        <w:t xml:space="preserve">  10 %</w:t>
      </w:r>
      <w:r>
        <w:rPr>
          <w:rFonts w:ascii="SimSun" w:hAnsi="SimSun" w:eastAsia="SimSun" w:cs="SimSun"/>
          <w:color w:val="000000"/>
          <w:sz w:val="24"/>
        </w:rPr>
        <w:t xml:space="preserve">的扣除，用扣除后的价格参加评审。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生态环境部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投标文件格式</w:t>
      </w: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标</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文</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rPr>
          <w:rFonts w:ascii="Times New Roman" w:hAnsi="Times New Roman" w:eastAsia="Times New Roman" w:cs="Times New Roma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编</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号：</w:t>
      </w: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投标人名称</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日</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期</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rPr>
          <w:rFonts w:ascii="SimSun" w:hAnsi="SimSun" w:eastAsia="SimSun" w:cs="SimSun"/>
          <w:color w:val="000000"/>
          <w:sz w:val="28"/>
          <w:u w:val="none"/>
        </w:rPr>
        <w:t xml:space="preserve">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十一、项目方案</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十二、投标所需其他材料</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的</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年</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月</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提供营业执照</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分包号：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投标单价报价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注：因系统内部单价单位无法调整，供应商所报单价的单位视同为“元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六、分项报价表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4571"/>
        <w:gridCol w:w="1489"/>
        <w:gridCol w:w="2496"/>
      </w:tblGrid>
      <w:tr>
        <w:trPr>
          <w:trHeight w:val="67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176" w:right="0" w:firstLine="0"/>
              <w:jc w:val="both"/>
              <w:spacing w:before="119"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71" w:type="dxa"/>
            <w:vAlign w:val="top"/>
            <w:textDirection w:val="lrTb"/>
            <w:noWrap w:val="false"/>
          </w:tcPr>
          <w:p>
            <w:pPr>
              <w:ind w:left="116" w:right="0" w:firstLine="0"/>
              <w:jc w:val="both"/>
              <w:spacing w:before="119"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项目名称及简述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9" w:type="dxa"/>
            <w:vAlign w:val="top"/>
            <w:textDirection w:val="lrTb"/>
            <w:noWrap w:val="false"/>
          </w:tcPr>
          <w:p>
            <w:pPr>
              <w:ind w:left="116" w:right="0" w:firstLine="0"/>
              <w:jc w:val="center"/>
              <w:spacing w:before="120"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单位（元/人）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96" w:type="dxa"/>
            <w:vAlign w:val="top"/>
            <w:textDirection w:val="lrTb"/>
            <w:noWrap w:val="false"/>
          </w:tcPr>
          <w:p>
            <w:pPr>
              <w:ind w:left="119" w:right="0" w:firstLine="0"/>
              <w:jc w:val="center"/>
              <w:spacing w:before="119"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备注</w:t>
            </w:r>
            <w:r/>
          </w:p>
        </w:tc>
      </w:tr>
      <w:tr>
        <w:trPr>
          <w:trHeight w:val="6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375" w:right="0" w:firstLine="0"/>
              <w:jc w:val="center"/>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71" w:type="dxa"/>
            <w:vAlign w:val="center"/>
            <w:textDirection w:val="lrTb"/>
            <w:noWrap w:val="false"/>
          </w:tcPr>
          <w:p>
            <w:pPr>
              <w:ind w:left="114" w:right="0" w:firstLine="0"/>
              <w:jc w:val="center"/>
              <w:spacing w:before="115"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人身意外伤害身故赔偿限额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360" w:right="0" w:firstLine="0"/>
              <w:jc w:val="center"/>
              <w:spacing w:before="11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71" w:type="dxa"/>
            <w:vAlign w:val="center"/>
            <w:textDirection w:val="lrTb"/>
            <w:noWrap w:val="false"/>
          </w:tcPr>
          <w:p>
            <w:pPr>
              <w:ind w:left="114" w:right="0" w:firstLine="0"/>
              <w:jc w:val="center"/>
              <w:spacing w:before="116"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人身意外伤害残疾赔偿限额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362" w:right="0" w:firstLine="0"/>
              <w:jc w:val="center"/>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71" w:type="dxa"/>
            <w:vAlign w:val="center"/>
            <w:textDirection w:val="lrTb"/>
            <w:noWrap w:val="false"/>
          </w:tcPr>
          <w:p>
            <w:pPr>
              <w:ind w:left="131" w:right="0" w:firstLine="0"/>
              <w:jc w:val="center"/>
              <w:spacing w:before="114"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附加意外伤害医疗赔偿限额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356"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71" w:type="dxa"/>
            <w:vAlign w:val="center"/>
            <w:textDirection w:val="lrTb"/>
            <w:noWrap w:val="false"/>
          </w:tcPr>
          <w:p>
            <w:pPr>
              <w:ind w:left="114" w:right="103" w:firstLine="16"/>
              <w:jc w:val="center"/>
              <w:spacing w:before="11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因重大疾病发生住院医疗费用自付部</w:t>
            </w:r>
            <w:r>
              <w:rPr>
                <w:rFonts w:ascii="SimSun" w:hAnsi="SimSun" w:eastAsia="SimSun" w:cs="SimSun"/>
                <w:color w:val="000000"/>
                <w:spacing w:val="-6"/>
                <w:sz w:val="24"/>
              </w:rPr>
              <w:t xml:space="preserve">分，按</w:t>
            </w:r>
            <w:r>
              <w:rPr>
                <w:rFonts w:ascii="SimSun" w:hAnsi="SimSun" w:eastAsia="SimSun" w:cs="SimSun"/>
                <w:color w:val="000000"/>
                <w:spacing w:val="-45"/>
                <w:sz w:val="24"/>
              </w:rPr>
              <w:t xml:space="preserve"> </w:t>
            </w:r>
            <w:r>
              <w:rPr>
                <w:rFonts w:ascii="SimSun" w:hAnsi="SimSun" w:eastAsia="SimSun" w:cs="SimSun"/>
                <w:color w:val="000000"/>
                <w:spacing w:val="-6"/>
                <w:sz w:val="24"/>
              </w:rPr>
              <w:t xml:space="preserve">70%补偿，补偿限额最高</w:t>
            </w:r>
            <w:r>
              <w:rPr>
                <w:rFonts w:ascii="SimSun" w:hAnsi="SimSun" w:eastAsia="SimSun" w:cs="SimSun"/>
                <w:color w:val="000000"/>
                <w:spacing w:val="-30"/>
                <w:sz w:val="24"/>
              </w:rPr>
              <w:t xml:space="preserve"> </w:t>
            </w:r>
            <w:r>
              <w:rPr>
                <w:rFonts w:ascii="SimSun" w:hAnsi="SimSun" w:eastAsia="SimSun" w:cs="SimSun"/>
                <w:color w:val="000000"/>
                <w:spacing w:val="-6"/>
                <w:sz w:val="24"/>
              </w:rPr>
              <w:t xml:space="preserve">10000</w:t>
            </w:r>
            <w:r>
              <w:rPr>
                <w:rFonts w:ascii="SimSun" w:hAnsi="SimSun" w:eastAsia="SimSun" w:cs="SimSun"/>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96" w:type="dxa"/>
            <w:vAlign w:val="center"/>
            <w:textDirection w:val="lrTb"/>
            <w:noWrap w:val="false"/>
          </w:tcPr>
          <w:p>
            <w:pPr>
              <w:ind w:left="0" w:right="0" w:firstLine="0"/>
              <w:jc w:val="center"/>
              <w:spacing w:before="78"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本项为响应项</w:t>
            </w:r>
            <w:r/>
          </w:p>
        </w:tc>
      </w:tr>
      <w:tr>
        <w:trPr>
          <w:trHeight w:val="20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362"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71" w:type="dxa"/>
            <w:vAlign w:val="center"/>
            <w:textDirection w:val="lrTb"/>
            <w:noWrap w:val="false"/>
          </w:tcPr>
          <w:p>
            <w:pPr>
              <w:ind w:left="0" w:right="105" w:firstLine="0"/>
              <w:jc w:val="center"/>
              <w:spacing w:before="7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经二级及以上医疗机构首次确诊的重</w:t>
            </w:r>
            <w:r>
              <w:rPr>
                <w:rFonts w:ascii="SimSun" w:hAnsi="SimSun" w:eastAsia="SimSun" w:cs="SimSun"/>
                <w:color w:val="000000"/>
                <w:spacing w:val="-4"/>
                <w:sz w:val="24"/>
              </w:rPr>
              <w:t xml:space="preserve">大疾病</w:t>
            </w:r>
            <w:r>
              <w:rPr>
                <w:rFonts w:ascii="SimSun" w:hAnsi="SimSun" w:eastAsia="SimSun" w:cs="SimSun"/>
                <w:color w:val="000000"/>
                <w:spacing w:val="-46"/>
                <w:sz w:val="24"/>
              </w:rPr>
              <w:t xml:space="preserve"> </w:t>
            </w:r>
            <w:r>
              <w:rPr>
                <w:rFonts w:ascii="SimSun" w:hAnsi="SimSun" w:eastAsia="SimSun" w:cs="SimSun"/>
                <w:color w:val="000000"/>
                <w:spacing w:val="-4"/>
                <w:sz w:val="24"/>
              </w:rPr>
              <w:t xml:space="preserve">28</w:t>
            </w:r>
            <w:r>
              <w:rPr>
                <w:rFonts w:ascii="SimSun" w:hAnsi="SimSun" w:eastAsia="SimSun" w:cs="SimSun"/>
                <w:color w:val="000000"/>
                <w:spacing w:val="-51"/>
                <w:sz w:val="24"/>
              </w:rPr>
              <w:t xml:space="preserve"> </w:t>
            </w:r>
            <w:r>
              <w:rPr>
                <w:rFonts w:ascii="SimSun" w:hAnsi="SimSun" w:eastAsia="SimSun" w:cs="SimSun"/>
                <w:color w:val="000000"/>
                <w:spacing w:val="-4"/>
                <w:sz w:val="24"/>
              </w:rPr>
              <w:t xml:space="preserve">种赔偿限额</w:t>
            </w:r>
            <w:r>
              <w:rPr>
                <w:rFonts w:ascii="SimSun" w:hAnsi="SimSun" w:eastAsia="SimSun" w:cs="SimSun"/>
                <w:color w:val="000000"/>
                <w:spacing w:val="-33"/>
                <w:sz w:val="24"/>
              </w:rPr>
              <w:t xml:space="preserve"> </w:t>
            </w:r>
            <w:r>
              <w:rPr>
                <w:rFonts w:ascii="SimSun" w:hAnsi="SimSun" w:eastAsia="SimSun" w:cs="SimSun"/>
                <w:color w:val="000000"/>
                <w:spacing w:val="-4"/>
                <w:sz w:val="24"/>
              </w:rPr>
              <w:t xml:space="preserve">10000</w:t>
            </w:r>
            <w:r>
              <w:rPr>
                <w:rFonts w:ascii="SimSun" w:hAnsi="SimSun" w:eastAsia="SimSun" w:cs="SimSun"/>
                <w:color w:val="000000"/>
                <w:spacing w:val="-48"/>
                <w:sz w:val="24"/>
              </w:rPr>
              <w:t xml:space="preserve"> </w:t>
            </w:r>
            <w:r>
              <w:rPr>
                <w:rFonts w:ascii="SimSun" w:hAnsi="SimSun" w:eastAsia="SimSun" w:cs="SimSun"/>
                <w:color w:val="000000"/>
                <w:spacing w:val="-4"/>
                <w:sz w:val="24"/>
              </w:rPr>
              <w:t xml:space="preserve">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96" w:type="dxa"/>
            <w:vAlign w:val="center"/>
            <w:textDirection w:val="lrTb"/>
            <w:noWrap w:val="false"/>
          </w:tcPr>
          <w:p>
            <w:pPr>
              <w:ind w:left="115" w:right="107" w:firstLine="1"/>
              <w:jc w:val="center"/>
              <w:spacing w:before="11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本项为响应项</w:t>
            </w:r>
            <w:r>
              <w:rPr>
                <w:rFonts w:ascii="SimSun" w:hAnsi="SimSun" w:eastAsia="SimSun" w:cs="SimSun"/>
                <w:color w:val="000000"/>
                <w:spacing w:val="-68"/>
                <w:sz w:val="24"/>
              </w:rPr>
              <w:t xml:space="preserve"> </w:t>
            </w:r>
            <w:r>
              <w:rPr>
                <w:rFonts w:ascii="SimSun" w:hAnsi="SimSun" w:eastAsia="SimSun" w:cs="SimSun"/>
                <w:color w:val="000000"/>
                <w:spacing w:val="7"/>
                <w:sz w:val="24"/>
              </w:rPr>
              <w:t xml:space="preserve">，</w:t>
            </w:r>
            <w:r>
              <w:rPr>
                <w:rFonts w:ascii="SimSun" w:hAnsi="SimSun" w:eastAsia="SimSun" w:cs="SimSun"/>
                <w:color w:val="000000"/>
                <w:spacing w:val="4"/>
                <w:sz w:val="24"/>
              </w:rPr>
              <w:t xml:space="preserve">另需列明28</w:t>
            </w:r>
            <w:r>
              <w:rPr>
                <w:rFonts w:ascii="SimSun" w:hAnsi="SimSun" w:eastAsia="SimSun" w:cs="SimSun"/>
                <w:color w:val="000000"/>
                <w:spacing w:val="-49"/>
                <w:sz w:val="24"/>
              </w:rPr>
              <w:t xml:space="preserve"> </w:t>
            </w:r>
            <w:r>
              <w:rPr>
                <w:rFonts w:ascii="SimSun" w:hAnsi="SimSun" w:eastAsia="SimSun" w:cs="SimSun"/>
                <w:color w:val="000000"/>
                <w:spacing w:val="4"/>
                <w:sz w:val="24"/>
              </w:rPr>
              <w:t xml:space="preserve">种基</w:t>
            </w:r>
            <w:r>
              <w:rPr>
                <w:rFonts w:ascii="SimSun" w:hAnsi="SimSun" w:eastAsia="SimSun" w:cs="SimSun"/>
                <w:color w:val="000000"/>
                <w:spacing w:val="14"/>
                <w:sz w:val="24"/>
              </w:rPr>
              <w:t xml:space="preserve">础重疾外重疾种</w:t>
            </w:r>
            <w:r>
              <w:rPr>
                <w:rFonts w:ascii="SimSun" w:hAnsi="SimSun" w:eastAsia="SimSun" w:cs="SimSun"/>
                <w:color w:val="000000"/>
                <w:spacing w:val="-3"/>
                <w:sz w:val="24"/>
              </w:rPr>
              <w:t xml:space="preserve">类数量</w:t>
            </w:r>
            <w:r/>
          </w:p>
        </w:tc>
      </w:tr>
      <w:tr>
        <w:trPr>
          <w:trHeight w:val="16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359"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71" w:type="dxa"/>
            <w:vAlign w:val="center"/>
            <w:textDirection w:val="lrTb"/>
            <w:noWrap w:val="false"/>
          </w:tcPr>
          <w:p>
            <w:pPr>
              <w:ind w:left="116" w:right="41" w:firstLine="2"/>
              <w:jc w:val="center"/>
              <w:spacing w:before="1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意外伤害住院津贴、重大疾病住院津</w:t>
            </w:r>
            <w:r>
              <w:rPr>
                <w:rFonts w:ascii="SimSun" w:hAnsi="SimSun" w:eastAsia="SimSun" w:cs="SimSun"/>
                <w:color w:val="000000"/>
                <w:spacing w:val="-13"/>
                <w:sz w:val="24"/>
              </w:rPr>
              <w:t xml:space="preserve">贴赔偿限额</w:t>
            </w:r>
            <w:r>
              <w:rPr>
                <w:rFonts w:ascii="SimSun" w:hAnsi="SimSun" w:eastAsia="SimSun" w:cs="SimSun"/>
                <w:color w:val="000000"/>
                <w:spacing w:val="-43"/>
                <w:sz w:val="24"/>
              </w:rPr>
              <w:t xml:space="preserve"> </w:t>
            </w:r>
            <w:r>
              <w:rPr>
                <w:rFonts w:ascii="SimSun" w:hAnsi="SimSun" w:eastAsia="SimSun" w:cs="SimSun"/>
                <w:color w:val="000000"/>
                <w:spacing w:val="-13"/>
                <w:sz w:val="24"/>
              </w:rPr>
              <w:t xml:space="preserve">100</w:t>
            </w:r>
            <w:r>
              <w:rPr>
                <w:rFonts w:ascii="SimSun" w:hAnsi="SimSun" w:eastAsia="SimSun" w:cs="SimSun"/>
                <w:color w:val="000000"/>
                <w:spacing w:val="-66"/>
                <w:sz w:val="24"/>
              </w:rPr>
              <w:t xml:space="preserve"> </w:t>
            </w:r>
            <w:r>
              <w:rPr>
                <w:rFonts w:ascii="SimSun" w:hAnsi="SimSun" w:eastAsia="SimSun" w:cs="SimSun"/>
                <w:color w:val="000000"/>
                <w:spacing w:val="-13"/>
                <w:sz w:val="24"/>
              </w:rPr>
              <w:t xml:space="preserve">元/天/人，最高</w:t>
            </w:r>
            <w:r>
              <w:rPr>
                <w:rFonts w:ascii="SimSun" w:hAnsi="SimSun" w:eastAsia="SimSun" w:cs="SimSun"/>
                <w:color w:val="000000"/>
                <w:spacing w:val="-64"/>
                <w:sz w:val="24"/>
              </w:rPr>
              <w:t xml:space="preserve"> </w:t>
            </w:r>
            <w:r>
              <w:rPr>
                <w:rFonts w:ascii="SimSun" w:hAnsi="SimSun" w:eastAsia="SimSun" w:cs="SimSun"/>
                <w:color w:val="000000"/>
                <w:spacing w:val="-13"/>
                <w:sz w:val="24"/>
              </w:rPr>
              <w:t xml:space="preserve">90</w:t>
            </w:r>
            <w:r>
              <w:rPr>
                <w:rFonts w:ascii="SimSun" w:hAnsi="SimSun" w:eastAsia="SimSun" w:cs="SimSun"/>
                <w:color w:val="000000"/>
                <w:spacing w:val="-63"/>
                <w:sz w:val="24"/>
              </w:rPr>
              <w:t xml:space="preserve"> </w:t>
            </w:r>
            <w:r>
              <w:rPr>
                <w:rFonts w:ascii="SimSun" w:hAnsi="SimSun" w:eastAsia="SimSun" w:cs="SimSun"/>
                <w:color w:val="000000"/>
                <w:spacing w:val="-13"/>
                <w:sz w:val="24"/>
              </w:rPr>
              <w:t xml:space="preserve">天，</w:t>
            </w:r>
            <w:r>
              <w:rPr>
                <w:rFonts w:ascii="SimSun" w:hAnsi="SimSun" w:eastAsia="SimSun" w:cs="SimSun"/>
                <w:color w:val="000000"/>
                <w:spacing w:val="-11"/>
                <w:sz w:val="24"/>
              </w:rPr>
              <w:t xml:space="preserve">免赔</w:t>
            </w:r>
            <w:r>
              <w:rPr>
                <w:rFonts w:ascii="SimSun" w:hAnsi="SimSun" w:eastAsia="SimSun" w:cs="SimSun"/>
                <w:color w:val="000000"/>
                <w:spacing w:val="-31"/>
                <w:sz w:val="24"/>
              </w:rPr>
              <w:t xml:space="preserve"> </w:t>
            </w:r>
            <w:r>
              <w:rPr>
                <w:rFonts w:ascii="SimSun" w:hAnsi="SimSun" w:eastAsia="SimSun" w:cs="SimSun"/>
                <w:color w:val="000000"/>
                <w:spacing w:val="-11"/>
                <w:sz w:val="24"/>
              </w:rPr>
              <w:t xml:space="preserve">1</w:t>
            </w:r>
            <w:r>
              <w:rPr>
                <w:rFonts w:ascii="SimSun" w:hAnsi="SimSun" w:eastAsia="SimSun" w:cs="SimSun"/>
                <w:color w:val="000000"/>
                <w:spacing w:val="-46"/>
                <w:sz w:val="24"/>
              </w:rPr>
              <w:t xml:space="preserve"> </w:t>
            </w:r>
            <w:r>
              <w:rPr>
                <w:rFonts w:ascii="SimSun" w:hAnsi="SimSun" w:eastAsia="SimSun" w:cs="SimSun"/>
                <w:color w:val="000000"/>
                <w:spacing w:val="-11"/>
                <w:sz w:val="24"/>
              </w:rPr>
              <w:t xml:space="preserve">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96" w:type="dxa"/>
            <w:vAlign w:val="center"/>
            <w:textDirection w:val="lrTb"/>
            <w:noWrap w:val="false"/>
          </w:tcPr>
          <w:p>
            <w:pPr>
              <w:ind w:left="117" w:right="0" w:firstLine="0"/>
              <w:jc w:val="center"/>
              <w:spacing w:before="78"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本项为响应项</w:t>
            </w:r>
            <w:r/>
          </w:p>
        </w:tc>
      </w:tr>
      <w:tr>
        <w:trPr>
          <w:trHeight w:val="3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363"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71" w:type="dxa"/>
            <w:vAlign w:val="center"/>
            <w:textDirection w:val="lrTb"/>
            <w:noWrap w:val="false"/>
          </w:tcPr>
          <w:p>
            <w:pPr>
              <w:ind w:left="111" w:right="99" w:firstLine="0"/>
              <w:jc w:val="center"/>
              <w:spacing w:before="1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在医保定点医疗机构住院发生的医保</w:t>
            </w:r>
            <w:r>
              <w:rPr>
                <w:rFonts w:ascii="SimSun" w:hAnsi="SimSun" w:eastAsia="SimSun" w:cs="SimSun"/>
                <w:color w:val="000000"/>
                <w:spacing w:val="-1"/>
                <w:sz w:val="24"/>
              </w:rPr>
              <w:t xml:space="preserve">政策范围内住院费用（外购药除外</w:t>
            </w:r>
            <w:r>
              <w:rPr>
                <w:rFonts w:ascii="SimSun" w:hAnsi="SimSun" w:eastAsia="SimSun" w:cs="SimSun"/>
                <w:color w:val="000000"/>
                <w:spacing w:val="-54"/>
                <w:sz w:val="24"/>
              </w:rPr>
              <w:t xml:space="preserve">），</w:t>
            </w:r>
            <w:r>
              <w:rPr>
                <w:rFonts w:ascii="SimSun" w:hAnsi="SimSun" w:eastAsia="SimSun" w:cs="SimSun"/>
                <w:color w:val="000000"/>
                <w:spacing w:val="3"/>
                <w:sz w:val="24"/>
              </w:rPr>
              <w:t xml:space="preserve">经基本医保、大病保险、医疗救助、</w:t>
            </w:r>
            <w:r>
              <w:rPr>
                <w:rFonts w:ascii="SimSun" w:hAnsi="SimSun" w:eastAsia="SimSun" w:cs="SimSun"/>
                <w:color w:val="000000"/>
                <w:spacing w:val="2"/>
                <w:sz w:val="24"/>
              </w:rPr>
              <w:t xml:space="preserve">低收入农户大病补充保险账户支付等医保实际报销后，剩余个人自付部分</w:t>
            </w:r>
            <w:r>
              <w:rPr>
                <w:rFonts w:ascii="SimSun" w:hAnsi="SimSun" w:eastAsia="SimSun" w:cs="SimSun"/>
                <w:color w:val="000000"/>
                <w:spacing w:val="-3"/>
                <w:sz w:val="24"/>
              </w:rPr>
              <w:t xml:space="preserve">（不含丙类费用</w:t>
            </w:r>
            <w:r>
              <w:rPr>
                <w:rFonts w:ascii="SimSun" w:hAnsi="SimSun" w:eastAsia="SimSun" w:cs="SimSun"/>
                <w:color w:val="000000"/>
                <w:spacing w:val="-56"/>
                <w:sz w:val="24"/>
              </w:rPr>
              <w:t xml:space="preserve">），</w:t>
            </w:r>
            <w:r>
              <w:rPr>
                <w:rFonts w:ascii="SimSun" w:hAnsi="SimSun" w:eastAsia="SimSun" w:cs="SimSun"/>
                <w:color w:val="000000"/>
                <w:spacing w:val="-3"/>
                <w:sz w:val="24"/>
              </w:rPr>
              <w:t xml:space="preserve">按照起付线</w:t>
            </w:r>
            <w:r>
              <w:rPr>
                <w:rFonts w:ascii="SimSun" w:hAnsi="SimSun" w:eastAsia="SimSun" w:cs="SimSun"/>
                <w:color w:val="000000"/>
                <w:spacing w:val="-32"/>
                <w:sz w:val="24"/>
              </w:rPr>
              <w:t xml:space="preserve"> </w:t>
            </w:r>
            <w:r>
              <w:rPr>
                <w:rFonts w:ascii="SimSun" w:hAnsi="SimSun" w:eastAsia="SimSun" w:cs="SimSun"/>
                <w:color w:val="000000"/>
                <w:spacing w:val="-3"/>
                <w:sz w:val="24"/>
              </w:rPr>
              <w:t xml:space="preserve">10000元，补偿比例</w:t>
            </w:r>
            <w:r>
              <w:rPr>
                <w:rFonts w:ascii="SimSun" w:hAnsi="SimSun" w:eastAsia="SimSun" w:cs="SimSun"/>
                <w:color w:val="000000"/>
                <w:spacing w:val="-37"/>
                <w:sz w:val="24"/>
              </w:rPr>
              <w:t xml:space="preserve"> </w:t>
            </w:r>
            <w:r>
              <w:rPr>
                <w:rFonts w:ascii="SimSun" w:hAnsi="SimSun" w:eastAsia="SimSun" w:cs="SimSun"/>
                <w:color w:val="000000"/>
                <w:spacing w:val="-3"/>
                <w:sz w:val="24"/>
              </w:rPr>
              <w:t xml:space="preserve">50%，限额</w:t>
            </w:r>
            <w:r>
              <w:rPr>
                <w:rFonts w:ascii="SimSun" w:hAnsi="SimSun" w:eastAsia="SimSun" w:cs="SimSun"/>
                <w:color w:val="000000"/>
                <w:spacing w:val="-49"/>
                <w:sz w:val="24"/>
              </w:rPr>
              <w:t xml:space="preserve"> </w:t>
            </w:r>
            <w:r>
              <w:rPr>
                <w:rFonts w:ascii="SimSun" w:hAnsi="SimSun" w:eastAsia="SimSun" w:cs="SimSun"/>
                <w:color w:val="000000"/>
                <w:spacing w:val="-3"/>
                <w:sz w:val="24"/>
              </w:rPr>
              <w:t xml:space="preserve">6000</w:t>
            </w:r>
            <w:r>
              <w:rPr>
                <w:rFonts w:ascii="SimSun" w:hAnsi="SimSun" w:eastAsia="SimSun" w:cs="SimSun"/>
                <w:color w:val="000000"/>
                <w:spacing w:val="-49"/>
                <w:sz w:val="24"/>
              </w:rPr>
              <w:t xml:space="preserve"> </w:t>
            </w:r>
            <w:r>
              <w:rPr>
                <w:rFonts w:ascii="SimSun" w:hAnsi="SimSun" w:eastAsia="SimSun" w:cs="SimSun"/>
                <w:color w:val="000000"/>
                <w:spacing w:val="-3"/>
                <w:sz w:val="24"/>
              </w:rPr>
              <w:t xml:space="preserve">元/人/</w:t>
            </w:r>
            <w:r>
              <w:rPr>
                <w:rFonts w:ascii="SimSun" w:hAnsi="SimSun" w:eastAsia="SimSun" w:cs="SimSun"/>
                <w:color w:val="000000"/>
                <w:spacing w:val="-2"/>
                <w:sz w:val="24"/>
              </w:rPr>
              <w:t xml:space="preserve">年予以补偿</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96" w:type="dxa"/>
            <w:vAlign w:val="center"/>
            <w:textDirection w:val="lrTb"/>
            <w:noWrap w:val="false"/>
          </w:tcPr>
          <w:p>
            <w:pPr>
              <w:ind w:left="117" w:right="0" w:firstLine="0"/>
              <w:jc w:val="center"/>
              <w:spacing w:before="78" w:after="0" w:line="5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本项为响应项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注：投标人应分项进行填报，表中表格行数可自行添加。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pStyle w:val="652"/>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七、中小企业声明函（服务）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八、技术要求响应及偏离表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加斜体下划线内容或</w:t>
            </w:r>
            <w:r>
              <w:rPr>
                <w:rFonts w:ascii="SimSun" w:hAnsi="SimSun" w:eastAsia="SimSun" w:cs="SimSun"/>
                <w:color w:val="000000"/>
                <w:sz w:val="24"/>
              </w:rPr>
              <w:t xml:space="preserve">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注：如供应商中标，项目组成员必须按本表承诺人员操作，不得随意更换。按投标文件要求附相关人员证书及社保缴纳证明材料。</w:t>
      </w:r>
      <w:r/>
    </w:p>
    <w:p>
      <w:pPr>
        <w:ind w:left="0" w:right="0" w:firstLine="2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十一、项目方案</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根据招标文件及评标办法提供方案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邮编：</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包号：</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7</cp:revision>
  <dcterms:created xsi:type="dcterms:W3CDTF">2025-11-27T04:29:15Z</dcterms:created>
  <dcterms:modified xsi:type="dcterms:W3CDTF">2025-12-01T02:11:45Z</dcterms:modified>
</cp:coreProperties>
</file>